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F" w:rsidRPr="00EE06F8" w:rsidRDefault="006D25BF" w:rsidP="006D25BF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D25BF" w:rsidRPr="00DB131F" w:rsidTr="001B51EB">
        <w:trPr>
          <w:trHeight w:val="627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6D25BF" w:rsidRPr="00DB131F" w:rsidRDefault="006D25BF" w:rsidP="004D50C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  <w:tr w:rsidR="006D25BF" w:rsidRPr="00DB131F" w:rsidTr="001B51EB">
        <w:trPr>
          <w:trHeight w:val="653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6D25BF" w:rsidRPr="00DB131F" w:rsidRDefault="006D25BF" w:rsidP="004D50CE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D25BF" w:rsidRPr="00DB131F" w:rsidTr="001B51EB">
        <w:trPr>
          <w:trHeight w:val="2490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6D25BF" w:rsidRPr="00DB131F" w:rsidRDefault="006D25BF" w:rsidP="00EA7967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والفهم </w:t>
            </w:r>
          </w:p>
          <w:p w:rsidR="006D25BF" w:rsidRPr="00DB131F" w:rsidRDefault="006D25BF" w:rsidP="00EA7967">
            <w:pPr>
              <w:autoSpaceDE w:val="0"/>
              <w:autoSpaceDN w:val="0"/>
              <w:adjustRightInd w:val="0"/>
              <w:ind w:left="718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المعرفة </w:t>
            </w:r>
            <w:r w:rsidR="00E63C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ذات العلاقة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بالمرتكزات </w:t>
            </w:r>
            <w:r w:rsidR="00E63C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الفكرية لإدارة الاعمال الدولية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D25BF" w:rsidRPr="00DB131F" w:rsidRDefault="006D25BF" w:rsidP="00EA7967">
            <w:pPr>
              <w:autoSpaceDE w:val="0"/>
              <w:autoSpaceDN w:val="0"/>
              <w:adjustRightInd w:val="0"/>
              <w:ind w:left="718" w:hanging="1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المعرفة </w:t>
            </w:r>
            <w:r w:rsidR="00E63C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ذات العلاقة بالتحديات التي تواجهها إدارة الاعمال الدولية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D25BF" w:rsidRPr="00DB131F" w:rsidRDefault="006D25BF" w:rsidP="00EA7967">
            <w:pPr>
              <w:autoSpaceDE w:val="0"/>
              <w:autoSpaceDN w:val="0"/>
              <w:adjustRightInd w:val="0"/>
              <w:ind w:left="1078" w:hanging="354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F53301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</w:t>
            </w:r>
            <w:r w:rsidR="00E63C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مستويات إدارة الاعمال الدولية ونماذجها المتداولة وبالشكل الذي يخلق وعي وإدراك كافي لدى الطالب بطبيعتها وأليات عملها</w:t>
            </w:r>
            <w:r w:rsidR="00F53301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D25BF" w:rsidRPr="00F53301" w:rsidRDefault="006D25BF" w:rsidP="00EA7967">
            <w:pPr>
              <w:autoSpaceDE w:val="0"/>
              <w:autoSpaceDN w:val="0"/>
              <w:adjustRightInd w:val="0"/>
              <w:ind w:left="1078" w:hanging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A7967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المعرفة والوعي بالمنظمات وأتفاقيات الاعمال الدولية وبالشكل الذي يكسب القارئ اطلاع كاف عن ماهيتها وارتباطاتها التنظيمية بشركات </w:t>
            </w:r>
            <w:r w:rsidR="00EA79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الاعمال الدولية</w:t>
            </w:r>
            <w:r w:rsidR="00F53301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6D25BF" w:rsidRPr="00DB131F" w:rsidRDefault="006D25BF" w:rsidP="00EA7967">
            <w:pPr>
              <w:autoSpaceDE w:val="0"/>
              <w:autoSpaceDN w:val="0"/>
              <w:adjustRightInd w:val="0"/>
              <w:ind w:left="1078" w:hanging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EA79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مفهوم الثقافة والمعرفة في شركات الاعمال الدولية وانواعها على وفق انموذج هوفستلد لادارة الثقافة التنظيمية في شركات الاعمال الدولية</w:t>
            </w:r>
            <w:r w:rsidR="00F53301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D25BF" w:rsidRDefault="006D25BF" w:rsidP="00EA7967">
            <w:pPr>
              <w:autoSpaceDE w:val="0"/>
              <w:autoSpaceDN w:val="0"/>
              <w:adjustRightInd w:val="0"/>
              <w:ind w:left="1078" w:hanging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="00F53301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EA796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أنواع التفاوض والشخصيات التفاوضية والاستراتيجيات المستخدمة في شركات الاعمال الدولية</w:t>
            </w:r>
            <w:r w:rsidR="00F53301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EA7967" w:rsidRDefault="00EA7967" w:rsidP="008D4E9D">
            <w:pPr>
              <w:autoSpaceDE w:val="0"/>
              <w:autoSpaceDN w:val="0"/>
              <w:adjustRightInd w:val="0"/>
              <w:ind w:left="1078" w:hanging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8D4E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أستراتيجيات الاعمال الدولية وأصحاب المصالح وخارطتهم وابرز استراتيجيات الدخول الى الاسواق الدولية </w:t>
            </w:r>
            <w:r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EA7967" w:rsidRPr="00DB131F" w:rsidRDefault="008D4E9D" w:rsidP="008D4E9D">
            <w:pPr>
              <w:autoSpaceDE w:val="0"/>
              <w:autoSpaceDN w:val="0"/>
              <w:adjustRightInd w:val="0"/>
              <w:ind w:left="1078" w:hanging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أنشطة او عمليات ادارة الاعمال الدولية من منظور عالمي كإدارة الموارد البشرية والتسويق والعمليات والادارة المالية</w:t>
            </w:r>
            <w:r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D25BF" w:rsidRPr="00DB131F" w:rsidTr="001B51EB">
        <w:trPr>
          <w:trHeight w:val="1631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BB1D60" w:rsidRPr="00BB1D60" w:rsidRDefault="00BB1D60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8"/>
                <w:szCs w:val="8"/>
                <w:rtl/>
                <w:lang w:bidi="ar-IQ"/>
              </w:rPr>
            </w:pPr>
          </w:p>
          <w:p w:rsidR="006D25BF" w:rsidRPr="00F53301" w:rsidRDefault="006D25BF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53301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6D25BF" w:rsidRPr="00DB131F" w:rsidRDefault="008D4E9D" w:rsidP="008D4E9D">
            <w:pPr>
              <w:autoSpaceDE w:val="0"/>
              <w:autoSpaceDN w:val="0"/>
              <w:adjustRightInd w:val="0"/>
              <w:ind w:left="1258" w:hanging="45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="006D25B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6D25B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في </w:t>
            </w:r>
            <w:r w:rsidR="006D25BF" w:rsidRPr="00BB1D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إدراك </w:t>
            </w:r>
            <w:r w:rsidR="00BB1D60" w:rsidRPr="00BB1D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الدور الاستراتيجي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لادارة الاعمال الدولية</w:t>
            </w:r>
            <w:r w:rsidR="006D25B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D25BF" w:rsidRPr="00DB131F" w:rsidRDefault="006D25BF" w:rsidP="008D4E9D">
            <w:pPr>
              <w:autoSpaceDE w:val="0"/>
              <w:autoSpaceDN w:val="0"/>
              <w:adjustRightInd w:val="0"/>
              <w:ind w:left="1258" w:hanging="45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</w:t>
            </w:r>
            <w:r w:rsidR="008D4E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تشخيص وتحليل اصحاب المصالح ودورهم في صياغة استراتيجيات الاعمال الدولية</w:t>
            </w:r>
            <w:r w:rsidR="00547A12" w:rsidRPr="00547A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547A12" w:rsidRDefault="008D4E9D" w:rsidP="008D4E9D">
            <w:pPr>
              <w:autoSpaceDE w:val="0"/>
              <w:autoSpaceDN w:val="0"/>
              <w:adjustRightInd w:val="0"/>
              <w:ind w:left="1258" w:hanging="45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r w:rsidR="006D25BF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547A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</w:t>
            </w:r>
            <w:r w:rsidR="00547A12" w:rsidRPr="00547A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</w:t>
            </w:r>
            <w:r w:rsidR="00547A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أنواع المفاوضين واستراتيجيات التفاوض والتك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يكات التفاوضية المستخدمة في شركات الاعمال الدولية </w:t>
            </w:r>
            <w:r w:rsidR="00547A12" w:rsidRPr="00547A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547A12" w:rsidRPr="00DB131F" w:rsidRDefault="006D25BF" w:rsidP="008D4E9D">
            <w:pPr>
              <w:autoSpaceDE w:val="0"/>
              <w:autoSpaceDN w:val="0"/>
              <w:adjustRightInd w:val="0"/>
              <w:ind w:left="1258" w:hanging="45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</w:t>
            </w:r>
            <w:r w:rsidR="00547A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</w:t>
            </w:r>
            <w:r w:rsidR="008D4E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ادراك الدور الترابطي والتداؤبي بين انشطة وعمليات ادارة الاعمال الدولية </w:t>
            </w:r>
            <w:r w:rsidR="00547A12" w:rsidRPr="00547A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E9D" w:rsidRPr="00DB131F" w:rsidTr="001B51EB">
        <w:trPr>
          <w:trHeight w:val="720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8D4E9D" w:rsidRPr="001337C8" w:rsidRDefault="008D4E9D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1337C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التعليم والتعلم </w:t>
            </w:r>
          </w:p>
          <w:p w:rsidR="008D4E9D" w:rsidRPr="00F53301" w:rsidRDefault="008D4E9D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"/>
                <w:szCs w:val="2"/>
                <w:rtl/>
                <w:lang w:bidi="ar-IQ"/>
              </w:rPr>
            </w:pPr>
          </w:p>
          <w:p w:rsidR="008D4E9D" w:rsidRPr="008D4E9D" w:rsidRDefault="008D4E9D" w:rsidP="008D4E9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محاضرات نظرية وتدريب على حالات عملية واستخدام اسلوب التحليل للحالات الدراسية .</w:t>
            </w:r>
          </w:p>
        </w:tc>
      </w:tr>
      <w:tr w:rsidR="008D4E9D" w:rsidRPr="00DB131F" w:rsidTr="001B51EB">
        <w:trPr>
          <w:trHeight w:val="576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8D4E9D" w:rsidRPr="001337C8" w:rsidRDefault="008D4E9D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8D4E9D" w:rsidRPr="00F53301" w:rsidRDefault="008D4E9D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"/>
                <w:szCs w:val="2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  <w:p w:rsidR="008D4E9D" w:rsidRPr="001337C8" w:rsidRDefault="008D4E9D" w:rsidP="00BB1D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ثلاثة امتحانات لكل فصل دراسي، فضلاً عن المشاركات اليومية.</w:t>
            </w:r>
          </w:p>
        </w:tc>
      </w:tr>
      <w:tr w:rsidR="006D25BF" w:rsidRPr="00DB131F" w:rsidTr="001B51EB">
        <w:trPr>
          <w:trHeight w:val="1296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6D25BF" w:rsidRPr="004319BE" w:rsidRDefault="006D25BF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4319BE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6D25BF" w:rsidRPr="00DB131F" w:rsidRDefault="006D25BF" w:rsidP="001B51EB">
            <w:pPr>
              <w:autoSpaceDE w:val="0"/>
              <w:autoSpaceDN w:val="0"/>
              <w:adjustRightInd w:val="0"/>
              <w:ind w:left="1348" w:hanging="45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تفكير 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ذات علاقة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بالتعامل مع </w:t>
            </w:r>
            <w:r w:rsidR="00E507C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تحديد الادوار الاستراتيجية للفروع المحلية في الشركات العابرة للحدود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D25BF" w:rsidRPr="00DB131F" w:rsidRDefault="006D25BF" w:rsidP="001B51EB">
            <w:pPr>
              <w:autoSpaceDE w:val="0"/>
              <w:autoSpaceDN w:val="0"/>
              <w:adjustRightInd w:val="0"/>
              <w:ind w:left="1348" w:hanging="45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تفكير 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ذات علاقة بتحديد نوع التفاوض والاستراتيجيات والتكتيكات التفاوضية المستخدمة خلال الجلسات التفاوضية ، فضلا عن تحديد انماط المتفاوضين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D25BF" w:rsidRPr="00DB131F" w:rsidRDefault="006D25BF" w:rsidP="001B51EB">
            <w:pPr>
              <w:autoSpaceDE w:val="0"/>
              <w:autoSpaceDN w:val="0"/>
              <w:adjustRightInd w:val="0"/>
              <w:ind w:left="1348" w:hanging="45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308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تفكير 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ذات علاقة بتحديد خارطة اصحاب المصالح </w:t>
            </w:r>
            <w:r w:rsidR="00830818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6D25BF" w:rsidRPr="00DB131F" w:rsidRDefault="006D25BF" w:rsidP="001B51EB">
            <w:pPr>
              <w:autoSpaceDE w:val="0"/>
              <w:autoSpaceDN w:val="0"/>
              <w:adjustRightInd w:val="0"/>
              <w:ind w:left="1348" w:hanging="45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</w:t>
            </w:r>
            <w:r w:rsidR="008308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تفكير 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ذات علاقة بتشخيص انواع الثقافات التنظيمية لشركات الاعمال التنظيمية على وفق انموذجي هوفستلد و لويس </w:t>
            </w:r>
            <w:r w:rsidR="00830818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BB1D60" w:rsidRPr="00DB131F" w:rsidTr="001B51EB">
        <w:trPr>
          <w:trHeight w:val="1115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BB1D60" w:rsidRPr="004319BE" w:rsidRDefault="00BB1D60" w:rsidP="004D50CE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</w:t>
            </w:r>
            <w:r w:rsidRPr="004319BE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التعليم والتعلم </w:t>
            </w:r>
          </w:p>
          <w:p w:rsidR="00BB1D60" w:rsidRPr="00156565" w:rsidRDefault="00BB1D60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10"/>
                <w:szCs w:val="10"/>
                <w:rtl/>
                <w:lang w:bidi="ar-IQ"/>
              </w:rPr>
            </w:pPr>
          </w:p>
          <w:p w:rsidR="00BB1D60" w:rsidRPr="00DB131F" w:rsidRDefault="00BB1D60" w:rsidP="001B51E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الإجابة عن الأسئلة 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والحالات الدراسية العالمية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التي تثار داخل القاعة الدراسية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وبالشكل الذي يدخلهم في جولة من العصف الذهني الموجه للوصول الى افضل استغلال لمقدراتهم وذكاءهم الطبيعي والشعوري </w:t>
            </w:r>
          </w:p>
          <w:p w:rsidR="00BB1D60" w:rsidRPr="00BB1D60" w:rsidRDefault="00BB1D60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"/>
                <w:szCs w:val="2"/>
                <w:lang w:bidi="ar-IQ"/>
              </w:rPr>
            </w:pPr>
          </w:p>
        </w:tc>
      </w:tr>
      <w:tr w:rsidR="001B51EB" w:rsidRPr="00DB131F" w:rsidTr="001B51EB">
        <w:trPr>
          <w:trHeight w:val="720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1B51EB" w:rsidRPr="004319BE" w:rsidRDefault="001B51EB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319BE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1B51EB" w:rsidRPr="00FB12C6" w:rsidRDefault="001B51EB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10"/>
                <w:szCs w:val="10"/>
                <w:rtl/>
                <w:lang w:bidi="ar-IQ"/>
              </w:rPr>
            </w:pPr>
          </w:p>
          <w:p w:rsidR="001B51EB" w:rsidRPr="004319BE" w:rsidRDefault="001B51EB" w:rsidP="004D50C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إضافة علامات تقييم لكل فكرة مبدعة أو اجابة منطقية مبينة على تحليل صحيح للحالت الدراسية المستخدمة في المحاضرة .</w:t>
            </w:r>
          </w:p>
        </w:tc>
      </w:tr>
      <w:tr w:rsidR="006D25BF" w:rsidRPr="00DB131F" w:rsidTr="001B51EB">
        <w:trPr>
          <w:trHeight w:val="60"/>
          <w:jc w:val="center"/>
        </w:trPr>
        <w:tc>
          <w:tcPr>
            <w:tcW w:w="9720" w:type="dxa"/>
            <w:shd w:val="clear" w:color="auto" w:fill="A7BFDE"/>
            <w:vAlign w:val="center"/>
          </w:tcPr>
          <w:p w:rsidR="006D25BF" w:rsidRPr="00DB131F" w:rsidRDefault="006D25BF" w:rsidP="004D50C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D25BF" w:rsidRPr="00DB131F" w:rsidRDefault="006D25BF" w:rsidP="004D50C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ادارة النقاشات مع الاقران </w:t>
            </w:r>
          </w:p>
          <w:p w:rsidR="006D25BF" w:rsidRPr="00DB131F" w:rsidRDefault="006D25BF" w:rsidP="004D50C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التحليل الكمي للمعطيات النوعية المذكورة في الحالات الدراسية</w:t>
            </w:r>
          </w:p>
          <w:p w:rsidR="006D25BF" w:rsidRPr="00DB131F" w:rsidRDefault="006D25BF" w:rsidP="004D50C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استخدام الانترنيت وتحليل الحالات الدراسية </w:t>
            </w:r>
          </w:p>
          <w:p w:rsidR="006D25BF" w:rsidRPr="00DB131F" w:rsidRDefault="006D25BF" w:rsidP="004D50C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1B51E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العرض والترجمة للمقالات والحالات الدراسية باللغة الانكليزية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7778AD" w:rsidRDefault="007778AD" w:rsidP="006D25BF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6D25BF" w:rsidRDefault="007778AD" w:rsidP="006D25BF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/>
          <w:b/>
          <w:bCs/>
          <w:color w:val="1F4E79"/>
          <w:sz w:val="32"/>
          <w:szCs w:val="32"/>
          <w:rtl/>
          <w:lang w:bidi="ar-IQ"/>
        </w:rPr>
        <w:br w:type="page"/>
      </w:r>
      <w:r w:rsidR="006D25BF"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lastRenderedPageBreak/>
        <w:t>وصف المقرر</w:t>
      </w:r>
    </w:p>
    <w:tbl>
      <w:tblPr>
        <w:tblpPr w:leftFromText="180" w:rightFromText="180" w:vertAnchor="text" w:horzAnchor="margin" w:tblpXSpec="center" w:tblpY="230"/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6D25BF" w:rsidRPr="00DB131F" w:rsidTr="007778AD">
        <w:trPr>
          <w:trHeight w:val="864"/>
        </w:trPr>
        <w:tc>
          <w:tcPr>
            <w:tcW w:w="9648" w:type="dxa"/>
            <w:shd w:val="clear" w:color="auto" w:fill="A7BFDE"/>
          </w:tcPr>
          <w:p w:rsidR="006D25BF" w:rsidRPr="00DB131F" w:rsidRDefault="007778AD" w:rsidP="007778AD">
            <w:pPr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السعي الى تقديم اطار فكري وتطبيقي لابرز المحاور الفكرية والممارسات العملية لادارة الاعمال الدولية التي تزود الطالب بالاطار المعرفي المتكامل المطلوب لتط</w:t>
            </w:r>
            <w:r w:rsidR="00EA76EE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ير مقدراته الجوهرية وتعزيز راسماله الفكري باستخدام مهارات التحليل والاستنباط العملي المبني على الحالات الدراسية وبالشكل الذي تمكنه من مواكبة التطورات الدولية في بيئة ادارة الاعمال وتنافسيتها.</w:t>
            </w:r>
          </w:p>
        </w:tc>
      </w:tr>
    </w:tbl>
    <w:p w:rsidR="006D25BF" w:rsidRPr="007778AD" w:rsidRDefault="006D25BF" w:rsidP="006D25B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"/>
          <w:szCs w:val="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D25BF" w:rsidRPr="003A678A" w:rsidTr="004D50CE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D25BF" w:rsidRPr="001337C8" w:rsidRDefault="006D25BF" w:rsidP="004D50C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D25BF" w:rsidRPr="003A678A" w:rsidRDefault="006D25BF" w:rsidP="004D50C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A678A">
              <w:rPr>
                <w:rFonts w:cs="Times New Roman" w:hint="cs"/>
                <w:sz w:val="28"/>
                <w:szCs w:val="28"/>
                <w:rtl/>
                <w:lang w:bidi="ar-IQ"/>
              </w:rPr>
              <w:t>جامعة بغداد/ كلية الإدارة والاقتصاد</w:t>
            </w:r>
          </w:p>
        </w:tc>
      </w:tr>
      <w:tr w:rsidR="006D25BF" w:rsidRPr="003A678A" w:rsidTr="004D50CE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D25BF" w:rsidRPr="001337C8" w:rsidRDefault="006D25BF" w:rsidP="004D50C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D25BF" w:rsidRPr="003A678A" w:rsidRDefault="006D25BF" w:rsidP="004D50C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A678A"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الأعمال</w:t>
            </w:r>
          </w:p>
        </w:tc>
      </w:tr>
      <w:tr w:rsidR="006D25BF" w:rsidRPr="003A678A" w:rsidTr="004D50CE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D25BF" w:rsidRPr="001337C8" w:rsidRDefault="006D25BF" w:rsidP="004D50C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D25BF" w:rsidRPr="003A678A" w:rsidRDefault="007778AD" w:rsidP="004D50C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إدارة الأعمال الدولية </w:t>
            </w:r>
          </w:p>
        </w:tc>
      </w:tr>
      <w:tr w:rsidR="006D25BF" w:rsidRPr="003A678A" w:rsidTr="004D50CE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D25BF" w:rsidRPr="001337C8" w:rsidRDefault="006D25BF" w:rsidP="004D50C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D25BF" w:rsidRPr="003A678A" w:rsidRDefault="007778AD" w:rsidP="004D50C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المرحلة الثالثة -</w:t>
            </w:r>
            <w:r w:rsidR="006D25B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إدارة أعمال</w:t>
            </w:r>
          </w:p>
        </w:tc>
      </w:tr>
      <w:tr w:rsidR="006D25BF" w:rsidRPr="003A678A" w:rsidTr="004D50CE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D25BF" w:rsidRPr="001337C8" w:rsidRDefault="006D25BF" w:rsidP="004D50C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D25BF" w:rsidRPr="003A678A" w:rsidRDefault="006D25BF" w:rsidP="004D50CE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6D25BF" w:rsidRPr="003A678A" w:rsidTr="004D50CE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D25BF" w:rsidRPr="001337C8" w:rsidRDefault="006D25BF" w:rsidP="004D50C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D25BF" w:rsidRPr="003A678A" w:rsidRDefault="000F04D8" w:rsidP="00D21A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6D25BF" w:rsidRPr="003A678A" w:rsidTr="004D50CE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D25BF" w:rsidRPr="001337C8" w:rsidRDefault="006D25BF" w:rsidP="004D50CE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1337C8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D25BF" w:rsidRPr="003A678A" w:rsidRDefault="006D25BF" w:rsidP="000F04D8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="007778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 ساعات أسبوعياً  الكلي (</w:t>
            </w:r>
            <w:r w:rsidR="000F04D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 ساعة</w:t>
            </w:r>
            <w:r w:rsidR="000F04D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للكورس الواحد</w:t>
            </w:r>
            <w:bookmarkStart w:id="0" w:name="_GoBack"/>
            <w:bookmarkEnd w:id="0"/>
          </w:p>
        </w:tc>
      </w:tr>
      <w:tr w:rsidR="006D25BF" w:rsidRPr="003A678A" w:rsidTr="004D50CE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D25BF" w:rsidRPr="001337C8" w:rsidRDefault="006D25BF" w:rsidP="004D50C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D25BF" w:rsidRPr="003A678A" w:rsidRDefault="00277820" w:rsidP="00D21A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6D25BF" w:rsidRPr="003A678A" w:rsidTr="004D50CE">
        <w:trPr>
          <w:trHeight w:val="2390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D25BF" w:rsidRPr="001337C8" w:rsidRDefault="006D25BF" w:rsidP="00FE1E8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after="240" w:line="276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  <w:p w:rsidR="006D25BF" w:rsidRDefault="006D25BF" w:rsidP="00FE1E8E">
            <w:pPr>
              <w:autoSpaceDE w:val="0"/>
              <w:autoSpaceDN w:val="0"/>
              <w:adjustRightInd w:val="0"/>
              <w:spacing w:before="240" w:after="240" w:line="276" w:lineRule="auto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D25B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يهدف هذا المقرر إلى تزويد الطلبة بنظرة عامة ومعمقة </w:t>
            </w:r>
            <w:r w:rsidR="00A8764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حول المرتكزات الفكرية </w:t>
            </w:r>
            <w:r w:rsidR="00A8764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لإدارة الاعمال الدولية وابرز ننماذجها المتداولة والمنظمات والاتفاقيات ذات العلاقة بها ، فضلا عن الثقافة والمعرفة وانواعها وشخصيات المفاوضين وابرز الاستراتيجيات والتكتيكات التفاوضية فيها ، وخارطة اصحاب المصالح واستراتيجيات الدخول للاسواق الدولية </w:t>
            </w:r>
            <w:r w:rsidR="00FE1E8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 كما يهدف المقرر ايضا الى تعريف القارئ ب</w:t>
            </w:r>
            <w:r w:rsidR="00A8764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أنشطة او عمليات ادارة الاعمال الدولية من منظور عالمي كإدارة الموارد البشرية والتسويق والعمليات والادارة المالية</w:t>
            </w:r>
            <w:r w:rsidR="00A8764F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E1E8E" w:rsidRPr="006D25BF" w:rsidRDefault="00FE1E8E" w:rsidP="00FE1E8E">
            <w:pPr>
              <w:autoSpaceDE w:val="0"/>
              <w:autoSpaceDN w:val="0"/>
              <w:adjustRightInd w:val="0"/>
              <w:spacing w:before="240" w:after="240" w:line="276" w:lineRule="auto"/>
              <w:ind w:left="360"/>
              <w:jc w:val="both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6D25BF" w:rsidRPr="0020555A" w:rsidRDefault="006D25BF" w:rsidP="00FE1E8E">
      <w:pPr>
        <w:spacing w:before="240" w:after="240"/>
        <w:rPr>
          <w:vanish/>
        </w:rPr>
      </w:pPr>
    </w:p>
    <w:tbl>
      <w:tblPr>
        <w:tblpPr w:leftFromText="180" w:rightFromText="180" w:vertAnchor="text" w:horzAnchor="margin" w:tblpXSpec="center" w:tblpY="-56"/>
        <w:bidiVisual/>
        <w:tblW w:w="108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109"/>
        <w:gridCol w:w="3260"/>
        <w:gridCol w:w="2559"/>
        <w:gridCol w:w="1411"/>
        <w:gridCol w:w="1559"/>
      </w:tblGrid>
      <w:tr w:rsidR="006D25BF" w:rsidRPr="00DB131F" w:rsidTr="004D50CE">
        <w:trPr>
          <w:trHeight w:val="538"/>
        </w:trPr>
        <w:tc>
          <w:tcPr>
            <w:tcW w:w="10842" w:type="dxa"/>
            <w:gridSpan w:val="6"/>
            <w:shd w:val="clear" w:color="auto" w:fill="A7BFDE"/>
            <w:vAlign w:val="center"/>
          </w:tcPr>
          <w:p w:rsidR="006D25BF" w:rsidRPr="00944FD3" w:rsidRDefault="006D25BF" w:rsidP="004D50CE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6D25BF" w:rsidRPr="00944FD3" w:rsidTr="00AF30DE">
        <w:trPr>
          <w:trHeight w:val="907"/>
        </w:trPr>
        <w:tc>
          <w:tcPr>
            <w:tcW w:w="944" w:type="dxa"/>
            <w:shd w:val="clear" w:color="auto" w:fill="A7BFDE"/>
            <w:vAlign w:val="center"/>
          </w:tcPr>
          <w:p w:rsidR="006D25BF" w:rsidRPr="00944FD3" w:rsidRDefault="006D25BF" w:rsidP="004D50C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09" w:type="dxa"/>
            <w:shd w:val="clear" w:color="auto" w:fill="D3DFEE"/>
            <w:vAlign w:val="center"/>
          </w:tcPr>
          <w:p w:rsidR="006D25BF" w:rsidRPr="00944FD3" w:rsidRDefault="006D25BF" w:rsidP="004D50C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260" w:type="dxa"/>
            <w:shd w:val="clear" w:color="auto" w:fill="A7BFDE"/>
            <w:vAlign w:val="center"/>
          </w:tcPr>
          <w:p w:rsidR="006D25BF" w:rsidRPr="00944FD3" w:rsidRDefault="006D25BF" w:rsidP="004D50C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559" w:type="dxa"/>
            <w:shd w:val="clear" w:color="auto" w:fill="D3DFEE"/>
            <w:vAlign w:val="center"/>
          </w:tcPr>
          <w:p w:rsidR="006D25BF" w:rsidRPr="00AF30DE" w:rsidRDefault="006D25BF" w:rsidP="004D50C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اسم الوحدة / المساق أو </w:t>
            </w: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</w:t>
            </w: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لموضوع</w:t>
            </w:r>
          </w:p>
        </w:tc>
        <w:tc>
          <w:tcPr>
            <w:tcW w:w="1411" w:type="dxa"/>
            <w:shd w:val="clear" w:color="auto" w:fill="A7BFDE"/>
            <w:vAlign w:val="center"/>
          </w:tcPr>
          <w:p w:rsidR="006D25BF" w:rsidRPr="00AF30DE" w:rsidRDefault="006D25BF" w:rsidP="00AF30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</w:t>
            </w:r>
            <w:r w:rsidR="00AF30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التعليم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D25BF" w:rsidRPr="00944FD3" w:rsidRDefault="006D25BF" w:rsidP="004D50C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D25BF" w:rsidRPr="00D70DBA" w:rsidTr="00AF30DE">
        <w:trPr>
          <w:trHeight w:val="39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D25BF" w:rsidRPr="00D70DBA" w:rsidRDefault="006D25BF" w:rsidP="004D50C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D25BF" w:rsidRPr="00D70DBA" w:rsidRDefault="00FE1E8E" w:rsidP="004D50C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D25BF" w:rsidRPr="00D70DBA" w:rsidRDefault="00E039A3" w:rsidP="00E039A3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تحليل مفاهيم </w:t>
            </w:r>
            <w:r w:rsidR="00534BDB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الأعمال الدولية ، والادارة العامة الدولية وشركات الصنف العالمي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D25BF" w:rsidRPr="00D70DBA" w:rsidRDefault="00534BDB" w:rsidP="00E039A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المظلة الفكرية والمفاهيمية لإدارة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D25BF" w:rsidRPr="00D70DBA" w:rsidRDefault="006D25BF" w:rsidP="004D50C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 w:rsidR="00534BDB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D25BF" w:rsidRPr="00D70DBA" w:rsidRDefault="006D25BF" w:rsidP="004D50C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AF30DE">
        <w:trPr>
          <w:trHeight w:val="339"/>
        </w:trPr>
        <w:tc>
          <w:tcPr>
            <w:tcW w:w="944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09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اهمية إدارة الأعمال الدوليةوابرز الاهداف التي تطمح لتحقيقها </w:t>
            </w:r>
          </w:p>
        </w:tc>
        <w:tc>
          <w:tcPr>
            <w:tcW w:w="2559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أهمية وأهداف إدارة الأعمال الدولية </w:t>
            </w:r>
          </w:p>
        </w:tc>
        <w:tc>
          <w:tcPr>
            <w:tcW w:w="1411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AF30DE">
        <w:trPr>
          <w:trHeight w:val="320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34BDB" w:rsidRPr="00D70DBA" w:rsidRDefault="00534BDB" w:rsidP="00534BD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34BDB" w:rsidRPr="00D70DBA" w:rsidRDefault="00534BDB" w:rsidP="00534BD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التعرف على خصائص إدارة الأعمال الدولية وابرز القيود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خصائص إدارة الأعمال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AF30DE">
        <w:trPr>
          <w:trHeight w:val="331"/>
        </w:trPr>
        <w:tc>
          <w:tcPr>
            <w:tcW w:w="944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109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التعرف على ابرز التحديات الداخلية والخارجية لادارة الاعمال الدولية </w:t>
            </w:r>
          </w:p>
        </w:tc>
        <w:tc>
          <w:tcPr>
            <w:tcW w:w="2559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تحديات إدارة الأعمال الدولية</w:t>
            </w:r>
          </w:p>
        </w:tc>
        <w:tc>
          <w:tcPr>
            <w:tcW w:w="1411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534BDB" w:rsidRPr="00D70DBA" w:rsidRDefault="00534BDB" w:rsidP="00534BD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B12962" w:rsidRPr="00D70DBA" w:rsidTr="00AF30DE">
        <w:trPr>
          <w:trHeight w:val="331"/>
        </w:trPr>
        <w:tc>
          <w:tcPr>
            <w:tcW w:w="944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09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ادراك درجة عمق الشركة في مزاولة نشاط الاعمال الدولية ، والادوار التي تلعبها الفروع المحلية في الشركات عابرة الحدود </w:t>
            </w:r>
          </w:p>
        </w:tc>
        <w:tc>
          <w:tcPr>
            <w:tcW w:w="2559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مستويات شركات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الأعمال الدولية ونماذجها </w:t>
            </w:r>
          </w:p>
        </w:tc>
        <w:tc>
          <w:tcPr>
            <w:tcW w:w="1411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B12962" w:rsidRPr="00D70DBA" w:rsidTr="00AF30DE">
        <w:trPr>
          <w:trHeight w:val="340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12962" w:rsidRPr="00D70DBA" w:rsidRDefault="00B12962" w:rsidP="00FE1E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12962" w:rsidRPr="00D70DBA" w:rsidRDefault="00B12962" w:rsidP="00FE1E8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12962" w:rsidRPr="00D70DBA" w:rsidRDefault="00B12962" w:rsidP="00B1296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الامتحان 1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12962" w:rsidRPr="00B12962" w:rsidRDefault="00B12962" w:rsidP="00FE1E8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B12962" w:rsidRPr="00D70DBA" w:rsidTr="00AF30DE">
        <w:trPr>
          <w:trHeight w:val="323"/>
        </w:trPr>
        <w:tc>
          <w:tcPr>
            <w:tcW w:w="944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109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B6DDE8"/>
            <w:vAlign w:val="center"/>
          </w:tcPr>
          <w:p w:rsidR="00B12962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منظمة التجارة العالمية ودورها </w:t>
            </w:r>
            <w:r w:rsidR="00B1296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بقضايا إدارة الاعمال الدولية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وابرز خصائصها </w:t>
            </w:r>
            <w:r w:rsidR="00B1296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59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المنظمات الدولية وإدارة الاعمال الدولية </w:t>
            </w:r>
            <w:r w:rsidR="00366088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-  منظمة التجارة العالمية </w:t>
            </w:r>
          </w:p>
        </w:tc>
        <w:tc>
          <w:tcPr>
            <w:tcW w:w="1411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B12962" w:rsidRPr="00D70DBA" w:rsidRDefault="00B12962" w:rsidP="00B1296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صندوق النقد الدولي ودوره بقضايا إدارة الاعمال الدولية وابرز خصائصه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المنظمات الدولية وإدارة الاعمال الدولية -   صندوق النقد الدولي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البنك الدولي ودوره بقضايا إدارة الاعمال الدولية وابرز خصائصه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المنظمات الدولية وإدارة الاعمال الدولية -   البنك  الدولي 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استعراض ابرز الاتفاقيات الدولية والاقليمية ذات العلاقة بادارة الاعمال الدولية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الاتفاقيات الدولية والاقليمية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366088" w:rsidRPr="00D70DBA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2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B6DDE8"/>
            <w:vAlign w:val="center"/>
          </w:tcPr>
          <w:p w:rsidR="00366088" w:rsidRPr="00B12962" w:rsidRDefault="00366088" w:rsidP="0036608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AF30DE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ماهية الثقافة التنظيمية والشركات متعددة الثقافات وإدارة الصدمة الثقافية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الثقافة والشركات متعددة الثقافات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AF30DE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B6DDE8"/>
            <w:vAlign w:val="center"/>
          </w:tcPr>
          <w:p w:rsidR="00AF30DE" w:rsidRPr="00D70DBA" w:rsidRDefault="00AF30DE" w:rsidP="00AF30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AF30DE" w:rsidRPr="00D70DBA" w:rsidRDefault="00AF30DE" w:rsidP="00AF30D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الدور الذي تلعبه الثقافة في شركات الاعمال الدولية وانواعها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AF30DE" w:rsidRPr="00D70DBA" w:rsidRDefault="00AF30DE" w:rsidP="00AF30D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الدور الذي تلعبه الثقافة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B6DDE8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AF30DE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30DE" w:rsidRDefault="00C67022" w:rsidP="00AF30D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فهم الخطوات الاساسية لادارة الثقافة في ضوء انموذج هوفستلد في شركات الاعمال الدولية </w:t>
            </w:r>
            <w:r w:rsidR="00DB0BF7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وابرز الابعاد التي يحتويها الانموذج </w:t>
            </w:r>
          </w:p>
          <w:p w:rsidR="00DB0BF7" w:rsidRPr="00D70DBA" w:rsidRDefault="00DB0BF7" w:rsidP="00AF30D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C67022" w:rsidP="00C670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أنموذج هوفستلد لإدارة الثقافة التنظيمية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F30DE" w:rsidRPr="00D70DBA" w:rsidRDefault="00AF30DE" w:rsidP="00AF30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15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فهم الخطوات الاساسية لادارة الثقافة في ضوء انموذج لويس في شركات الاعمال 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أنموذج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لويس</w:t>
            </w: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لإدارة الثقافة التنظيمية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E42E88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 w:rsidRPr="00DB0BF7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3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BF7" w:rsidRPr="00B12962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DB0BF7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التعرف على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مفهوم التفاوض وانواعه وخصائصه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التفاوض في شركات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بيان ابرز الخصائص والسمات ذات العلاقة بالشخصيات التفاوضية في شركات الاعمال 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الشخصيات التفاوضية في شركات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ابرز انواع الاستراتيجيات التفاوضية الزمانية والمكانية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في شركات الاعمال الدولية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أستراتيجيات التفاوض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ابراز التكتيكات التفاوضية التي تعمل بها  شركات الاعمال الدولية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التكتيكات التفاوضية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132692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B6DDE8"/>
            <w:vAlign w:val="center"/>
          </w:tcPr>
          <w:p w:rsidR="00DB0BF7" w:rsidRPr="00D70DBA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1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B6DDE8"/>
            <w:vAlign w:val="center"/>
          </w:tcPr>
          <w:p w:rsidR="00DB0BF7" w:rsidRPr="00B12962" w:rsidRDefault="00DB0BF7" w:rsidP="00DB0B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C101FB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اهم المصطلحات الاساسية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استراتيجيات الاعمال الدولية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واتجاهات الفعل التنافسي 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استراتيجيات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توضيح المفهوم وبيان اختلافه عن المصطلح العام مع بيان ابرز خصائصه وانماطه الشائعة حول العالم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القيادة الاستراتيجية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اصحاب المصالح وخصائصهم وخارطتهم وبحسب المصفوفة الخاصة بهم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أصحاب المصالح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ابرز الطرائق التي تسهل نفاد شركات الاعمال الدولية الى الاسواق المحلية والدولية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أستراتيجيات الدخول الى الاسواق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843600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2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1FB" w:rsidRPr="00B12962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C101FB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إدارة الموارد البشرية الدولية وابرز الادوار الجديدة التي تلعبها والتحديات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الموارد البشرية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AF30DE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إدارة التسويق الدولي وابرز الادوار الجديدة التي يلعبها والتحديات التي يواجهها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التسويق الدولي 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D152B5">
        <w:trPr>
          <w:trHeight w:val="319"/>
        </w:trPr>
        <w:tc>
          <w:tcPr>
            <w:tcW w:w="944" w:type="dxa"/>
            <w:tcBorders>
              <w:bottom w:val="single" w:sz="8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109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 الادارة المالية الدولية وابرز الادوار الجديدة التي تلعبها والتحديات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الادارة المالية الدولية </w:t>
            </w:r>
          </w:p>
        </w:tc>
        <w:tc>
          <w:tcPr>
            <w:tcW w:w="1411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  <w:bottom w:val="single" w:sz="8" w:space="0" w:color="4F81BD"/>
            </w:tcBorders>
            <w:shd w:val="clear" w:color="auto" w:fill="E5DFEC"/>
            <w:vAlign w:val="center"/>
          </w:tcPr>
          <w:p w:rsidR="00C101FB" w:rsidRPr="00D70DBA" w:rsidRDefault="00C101FB" w:rsidP="00C101F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152B5" w:rsidRPr="00D70DBA" w:rsidTr="00120778">
        <w:trPr>
          <w:trHeight w:val="319"/>
        </w:trPr>
        <w:tc>
          <w:tcPr>
            <w:tcW w:w="944" w:type="dxa"/>
            <w:tcBorders>
              <w:right w:val="single" w:sz="8" w:space="0" w:color="4F81BD"/>
            </w:tcBorders>
            <w:shd w:val="clear" w:color="auto" w:fill="8DB3E2"/>
            <w:vAlign w:val="center"/>
          </w:tcPr>
          <w:p w:rsidR="00D152B5" w:rsidRPr="00D70DBA" w:rsidRDefault="00D152B5" w:rsidP="00D152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1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8DB3E2"/>
            <w:vAlign w:val="center"/>
          </w:tcPr>
          <w:p w:rsidR="00D152B5" w:rsidRPr="00D70DBA" w:rsidRDefault="00D152B5" w:rsidP="00D152B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8DB3E2"/>
            <w:vAlign w:val="center"/>
          </w:tcPr>
          <w:p w:rsidR="00D152B5" w:rsidRPr="00D70DBA" w:rsidRDefault="00D152B5" w:rsidP="00D152B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3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8" w:space="0" w:color="4F81BD"/>
            </w:tcBorders>
            <w:shd w:val="clear" w:color="auto" w:fill="8DB3E2"/>
            <w:vAlign w:val="center"/>
          </w:tcPr>
          <w:p w:rsidR="00D152B5" w:rsidRPr="00B12962" w:rsidRDefault="00D152B5" w:rsidP="00D152B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</w:tbl>
    <w:p w:rsidR="00013621" w:rsidRDefault="00013621" w:rsidP="00013621">
      <w:pPr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p w:rsidR="00D152B5" w:rsidRDefault="00D152B5" w:rsidP="00013621">
      <w:pPr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p w:rsidR="00D152B5" w:rsidRPr="00013621" w:rsidRDefault="00D152B5" w:rsidP="00013621">
      <w:pPr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tbl>
      <w:tblPr>
        <w:bidiVisual/>
        <w:tblW w:w="10821" w:type="dxa"/>
        <w:jc w:val="center"/>
        <w:tblInd w:w="-43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6294"/>
      </w:tblGrid>
      <w:tr w:rsidR="00013621" w:rsidRPr="00DB131F" w:rsidTr="006D25BF">
        <w:trPr>
          <w:trHeight w:val="477"/>
          <w:jc w:val="center"/>
        </w:trPr>
        <w:tc>
          <w:tcPr>
            <w:tcW w:w="10821" w:type="dxa"/>
            <w:gridSpan w:val="2"/>
            <w:shd w:val="clear" w:color="auto" w:fill="A7BFDE"/>
            <w:vAlign w:val="center"/>
          </w:tcPr>
          <w:p w:rsidR="00013621" w:rsidRPr="00DB131F" w:rsidRDefault="00013621" w:rsidP="007F5262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013621" w:rsidRPr="00D70DBA" w:rsidTr="00AC18C2">
        <w:trPr>
          <w:trHeight w:val="301"/>
          <w:jc w:val="center"/>
        </w:trPr>
        <w:tc>
          <w:tcPr>
            <w:tcW w:w="4527" w:type="dxa"/>
            <w:shd w:val="clear" w:color="auto" w:fill="A7BFDE"/>
            <w:vAlign w:val="center"/>
          </w:tcPr>
          <w:p w:rsidR="00013621" w:rsidRPr="00D70DBA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القراءات المطلوبة :</w:t>
            </w:r>
          </w:p>
          <w:p w:rsidR="00013621" w:rsidRPr="00D70DBA" w:rsidRDefault="00013621" w:rsidP="007F52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النصوص الأساسية </w:t>
            </w:r>
          </w:p>
          <w:p w:rsidR="00013621" w:rsidRPr="00D70DBA" w:rsidRDefault="00013621" w:rsidP="007F52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كتب المقرر</w:t>
            </w:r>
          </w:p>
          <w:p w:rsidR="00013621" w:rsidRPr="00D70DBA" w:rsidRDefault="00013621" w:rsidP="007F52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أخرى     </w:t>
            </w:r>
          </w:p>
        </w:tc>
        <w:tc>
          <w:tcPr>
            <w:tcW w:w="6294" w:type="dxa"/>
            <w:shd w:val="clear" w:color="auto" w:fill="D3DFEE"/>
            <w:vAlign w:val="center"/>
          </w:tcPr>
          <w:p w:rsidR="00013621" w:rsidRPr="00D152B5" w:rsidRDefault="00D152B5" w:rsidP="00D152B5">
            <w:pPr>
              <w:jc w:val="both"/>
              <w:rPr>
                <w:rFonts w:cs="Simplified Arabic"/>
                <w:b/>
                <w:bCs/>
                <w:sz w:val="26"/>
                <w:szCs w:val="26"/>
              </w:rPr>
            </w:pPr>
            <w:r w:rsidRPr="00D152B5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إدارة الاعمال الدولية: مدخل منهجي متكامل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( 2013) ، الدكتور احمد علي صالح ، دار وائل للنشر ، الطبعة الاولى ، عمان ، الاردن.</w:t>
            </w:r>
            <w:r w:rsidR="00802967" w:rsidRPr="00D70DBA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13621" w:rsidRPr="00D70DBA" w:rsidTr="00AC18C2">
        <w:trPr>
          <w:trHeight w:val="263"/>
          <w:jc w:val="center"/>
        </w:trPr>
        <w:tc>
          <w:tcPr>
            <w:tcW w:w="452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3621" w:rsidRPr="00D70DBA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29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3621" w:rsidRDefault="00D152B5" w:rsidP="00D152B5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Business Insider, </w:t>
            </w:r>
            <w:hyperlink r:id="rId9" w:history="1">
              <w:r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www.businessinsider.com</w:t>
              </w:r>
            </w:hyperlink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 </w:t>
            </w:r>
          </w:p>
          <w:p w:rsidR="00D152B5" w:rsidRDefault="00D152B5" w:rsidP="00D152B5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Harvard Business Review, </w:t>
            </w:r>
            <w:hyperlink r:id="rId10" w:history="1">
              <w:r w:rsidR="00AC18C2"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www.hbr.org</w:t>
              </w:r>
            </w:hyperlink>
            <w:r w:rsidR="00AC18C2"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 </w:t>
            </w:r>
          </w:p>
          <w:p w:rsidR="00AC18C2" w:rsidRDefault="00AC18C2" w:rsidP="00AC18C2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Ivey Business Review, </w:t>
            </w:r>
            <w:hyperlink r:id="rId11" w:history="1">
              <w:r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www.iveybusinessreview.ca</w:t>
              </w:r>
            </w:hyperlink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  </w:t>
            </w:r>
          </w:p>
          <w:p w:rsidR="00AC18C2" w:rsidRPr="00D70DBA" w:rsidRDefault="00AC18C2" w:rsidP="00AC18C2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013621" w:rsidRPr="00D70DBA" w:rsidTr="00AC18C2">
        <w:trPr>
          <w:trHeight w:val="215"/>
          <w:jc w:val="center"/>
        </w:trPr>
        <w:tc>
          <w:tcPr>
            <w:tcW w:w="4527" w:type="dxa"/>
            <w:shd w:val="clear" w:color="auto" w:fill="A7BFDE"/>
            <w:vAlign w:val="center"/>
          </w:tcPr>
          <w:p w:rsidR="00013621" w:rsidRPr="00D70DBA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294" w:type="dxa"/>
            <w:shd w:val="clear" w:color="auto" w:fill="D3DFEE"/>
            <w:vAlign w:val="center"/>
          </w:tcPr>
          <w:p w:rsidR="00013621" w:rsidRPr="00D70DBA" w:rsidRDefault="00802967" w:rsidP="007F526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 يوجد</w:t>
            </w:r>
          </w:p>
        </w:tc>
      </w:tr>
    </w:tbl>
    <w:p w:rsidR="00013621" w:rsidRDefault="00013621" w:rsidP="00013621">
      <w:pPr>
        <w:rPr>
          <w:rtl/>
        </w:rPr>
      </w:pPr>
    </w:p>
    <w:tbl>
      <w:tblPr>
        <w:bidiVisual/>
        <w:tblW w:w="10915" w:type="dxa"/>
        <w:tblInd w:w="-121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954"/>
      </w:tblGrid>
      <w:tr w:rsidR="00013621" w:rsidRPr="00DB131F" w:rsidTr="006D25BF">
        <w:trPr>
          <w:trHeight w:val="419"/>
        </w:trPr>
        <w:tc>
          <w:tcPr>
            <w:tcW w:w="10915" w:type="dxa"/>
            <w:gridSpan w:val="2"/>
            <w:shd w:val="clear" w:color="auto" w:fill="A7BFDE"/>
            <w:vAlign w:val="center"/>
          </w:tcPr>
          <w:p w:rsidR="00013621" w:rsidRPr="00DB131F" w:rsidRDefault="00013621" w:rsidP="007F5262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013621" w:rsidRPr="000049E3" w:rsidTr="00457EA3">
        <w:trPr>
          <w:trHeight w:val="60"/>
        </w:trPr>
        <w:tc>
          <w:tcPr>
            <w:tcW w:w="4961" w:type="dxa"/>
            <w:shd w:val="clear" w:color="auto" w:fill="A7BFDE"/>
            <w:vAlign w:val="center"/>
          </w:tcPr>
          <w:p w:rsidR="00013621" w:rsidRPr="000049E3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المتطلبات السابقة</w:t>
            </w:r>
          </w:p>
        </w:tc>
        <w:tc>
          <w:tcPr>
            <w:tcW w:w="5954" w:type="dxa"/>
            <w:shd w:val="clear" w:color="auto" w:fill="D3DFEE"/>
            <w:vAlign w:val="center"/>
          </w:tcPr>
          <w:p w:rsidR="00013621" w:rsidRPr="000049E3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013621" w:rsidRPr="000049E3" w:rsidTr="00457EA3">
        <w:trPr>
          <w:trHeight w:val="60"/>
        </w:trPr>
        <w:tc>
          <w:tcPr>
            <w:tcW w:w="496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3621" w:rsidRPr="000049E3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595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3621" w:rsidRPr="000049E3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013621" w:rsidRPr="000049E3" w:rsidTr="00457EA3">
        <w:trPr>
          <w:trHeight w:val="60"/>
        </w:trPr>
        <w:tc>
          <w:tcPr>
            <w:tcW w:w="4961" w:type="dxa"/>
            <w:shd w:val="clear" w:color="auto" w:fill="A7BFDE"/>
            <w:vAlign w:val="center"/>
          </w:tcPr>
          <w:p w:rsidR="00013621" w:rsidRPr="000049E3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954" w:type="dxa"/>
            <w:shd w:val="clear" w:color="auto" w:fill="D3DFEE"/>
            <w:vAlign w:val="center"/>
          </w:tcPr>
          <w:p w:rsidR="00013621" w:rsidRPr="000049E3" w:rsidRDefault="00013621" w:rsidP="007F52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013621" w:rsidRPr="002A432E" w:rsidRDefault="00013621" w:rsidP="00277820">
      <w:pPr>
        <w:spacing w:after="240" w:line="276" w:lineRule="auto"/>
        <w:rPr>
          <w:sz w:val="24"/>
          <w:szCs w:val="24"/>
          <w:rtl/>
          <w:lang w:bidi="ar-IQ"/>
        </w:rPr>
      </w:pPr>
    </w:p>
    <w:p w:rsidR="00807DE1" w:rsidRPr="00807DE1" w:rsidRDefault="00807DE1" w:rsidP="00807DE1">
      <w:pPr>
        <w:rPr>
          <w:vanish/>
        </w:rPr>
      </w:pPr>
    </w:p>
    <w:sectPr w:rsidR="00807DE1" w:rsidRPr="00807DE1" w:rsidSect="00D152B5">
      <w:footerReference w:type="default" r:id="rId12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9C" w:rsidRDefault="0094549C">
      <w:r>
        <w:separator/>
      </w:r>
    </w:p>
  </w:endnote>
  <w:endnote w:type="continuationSeparator" w:id="0">
    <w:p w:rsidR="0094549C" w:rsidRDefault="0094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BE0AE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F4034" w:rsidRPr="006F4034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BE0AE8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9C" w:rsidRDefault="0094549C">
      <w:r>
        <w:separator/>
      </w:r>
    </w:p>
  </w:footnote>
  <w:footnote w:type="continuationSeparator" w:id="0">
    <w:p w:rsidR="0094549C" w:rsidRDefault="0094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7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2A"/>
    <w:rsid w:val="000049E3"/>
    <w:rsid w:val="00005774"/>
    <w:rsid w:val="00007B9F"/>
    <w:rsid w:val="00013621"/>
    <w:rsid w:val="000428A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04D8"/>
    <w:rsid w:val="000F2476"/>
    <w:rsid w:val="000F3655"/>
    <w:rsid w:val="000F5F6D"/>
    <w:rsid w:val="00102C53"/>
    <w:rsid w:val="00104BF3"/>
    <w:rsid w:val="0010580A"/>
    <w:rsid w:val="001141F6"/>
    <w:rsid w:val="00120778"/>
    <w:rsid w:val="001304F3"/>
    <w:rsid w:val="001337C8"/>
    <w:rsid w:val="0014600C"/>
    <w:rsid w:val="0015696E"/>
    <w:rsid w:val="00182552"/>
    <w:rsid w:val="00192A9C"/>
    <w:rsid w:val="001B0307"/>
    <w:rsid w:val="001B51EB"/>
    <w:rsid w:val="001C1CD7"/>
    <w:rsid w:val="001D678C"/>
    <w:rsid w:val="001F7A06"/>
    <w:rsid w:val="002000D6"/>
    <w:rsid w:val="00203A53"/>
    <w:rsid w:val="0020555A"/>
    <w:rsid w:val="002358AF"/>
    <w:rsid w:val="00236F0D"/>
    <w:rsid w:val="0023793A"/>
    <w:rsid w:val="00242DCC"/>
    <w:rsid w:val="002444B5"/>
    <w:rsid w:val="00265E20"/>
    <w:rsid w:val="00277820"/>
    <w:rsid w:val="00297E64"/>
    <w:rsid w:val="002B28B2"/>
    <w:rsid w:val="002C74F4"/>
    <w:rsid w:val="002D2398"/>
    <w:rsid w:val="002F032D"/>
    <w:rsid w:val="002F0830"/>
    <w:rsid w:val="002F1537"/>
    <w:rsid w:val="00305509"/>
    <w:rsid w:val="0030567D"/>
    <w:rsid w:val="003068D1"/>
    <w:rsid w:val="003132A6"/>
    <w:rsid w:val="00327FCC"/>
    <w:rsid w:val="0034068F"/>
    <w:rsid w:val="00357C89"/>
    <w:rsid w:val="00366088"/>
    <w:rsid w:val="00372012"/>
    <w:rsid w:val="00391BA9"/>
    <w:rsid w:val="003A16B8"/>
    <w:rsid w:val="003A3412"/>
    <w:rsid w:val="003A678A"/>
    <w:rsid w:val="003A6895"/>
    <w:rsid w:val="003C56DD"/>
    <w:rsid w:val="003D4EAF"/>
    <w:rsid w:val="003D5734"/>
    <w:rsid w:val="003D742A"/>
    <w:rsid w:val="003D7925"/>
    <w:rsid w:val="003E04B9"/>
    <w:rsid w:val="003E179B"/>
    <w:rsid w:val="003E55DB"/>
    <w:rsid w:val="003F6248"/>
    <w:rsid w:val="00406DC6"/>
    <w:rsid w:val="004319BE"/>
    <w:rsid w:val="004361D7"/>
    <w:rsid w:val="00457EA3"/>
    <w:rsid w:val="004662C5"/>
    <w:rsid w:val="0048407D"/>
    <w:rsid w:val="00487CAC"/>
    <w:rsid w:val="004A4634"/>
    <w:rsid w:val="004A6A6D"/>
    <w:rsid w:val="004D00FA"/>
    <w:rsid w:val="004D2002"/>
    <w:rsid w:val="004D3497"/>
    <w:rsid w:val="004D50CE"/>
    <w:rsid w:val="004E0EBA"/>
    <w:rsid w:val="004E3ECF"/>
    <w:rsid w:val="004E60C2"/>
    <w:rsid w:val="004F0938"/>
    <w:rsid w:val="00516004"/>
    <w:rsid w:val="00534329"/>
    <w:rsid w:val="00534BDB"/>
    <w:rsid w:val="00535D14"/>
    <w:rsid w:val="00547A12"/>
    <w:rsid w:val="00581B3C"/>
    <w:rsid w:val="005827E2"/>
    <w:rsid w:val="00584D07"/>
    <w:rsid w:val="00584DA6"/>
    <w:rsid w:val="00595034"/>
    <w:rsid w:val="005A3CAC"/>
    <w:rsid w:val="005C050F"/>
    <w:rsid w:val="005C71F0"/>
    <w:rsid w:val="005D644B"/>
    <w:rsid w:val="005D69BE"/>
    <w:rsid w:val="005E2377"/>
    <w:rsid w:val="005F733A"/>
    <w:rsid w:val="0060297B"/>
    <w:rsid w:val="006031F2"/>
    <w:rsid w:val="00606B47"/>
    <w:rsid w:val="006101CA"/>
    <w:rsid w:val="006120D9"/>
    <w:rsid w:val="00623353"/>
    <w:rsid w:val="00624259"/>
    <w:rsid w:val="00627034"/>
    <w:rsid w:val="006279D6"/>
    <w:rsid w:val="006315D0"/>
    <w:rsid w:val="006377B6"/>
    <w:rsid w:val="00637C8B"/>
    <w:rsid w:val="00640E14"/>
    <w:rsid w:val="00671EDD"/>
    <w:rsid w:val="00677895"/>
    <w:rsid w:val="006D25BF"/>
    <w:rsid w:val="006D4F39"/>
    <w:rsid w:val="006F4034"/>
    <w:rsid w:val="0075633E"/>
    <w:rsid w:val="00760D34"/>
    <w:rsid w:val="007645B4"/>
    <w:rsid w:val="00767E3E"/>
    <w:rsid w:val="007716A6"/>
    <w:rsid w:val="007778AD"/>
    <w:rsid w:val="0078752C"/>
    <w:rsid w:val="0079031B"/>
    <w:rsid w:val="007A7C20"/>
    <w:rsid w:val="007B0B99"/>
    <w:rsid w:val="007B21F5"/>
    <w:rsid w:val="007F319C"/>
    <w:rsid w:val="007F5262"/>
    <w:rsid w:val="00802967"/>
    <w:rsid w:val="00807DE1"/>
    <w:rsid w:val="00830818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D4E9D"/>
    <w:rsid w:val="008E27DA"/>
    <w:rsid w:val="008F3E7F"/>
    <w:rsid w:val="00902FDF"/>
    <w:rsid w:val="00925B10"/>
    <w:rsid w:val="0094549C"/>
    <w:rsid w:val="0096666E"/>
    <w:rsid w:val="00967B24"/>
    <w:rsid w:val="0098449B"/>
    <w:rsid w:val="0098755F"/>
    <w:rsid w:val="009A07B9"/>
    <w:rsid w:val="009B4A24"/>
    <w:rsid w:val="009B609A"/>
    <w:rsid w:val="009B68B5"/>
    <w:rsid w:val="009C4ACD"/>
    <w:rsid w:val="009D36E7"/>
    <w:rsid w:val="009D5412"/>
    <w:rsid w:val="009E2D35"/>
    <w:rsid w:val="009F7BAF"/>
    <w:rsid w:val="00A07775"/>
    <w:rsid w:val="00A11A57"/>
    <w:rsid w:val="00A12DBC"/>
    <w:rsid w:val="00A2126F"/>
    <w:rsid w:val="00A30E4D"/>
    <w:rsid w:val="00A32E9F"/>
    <w:rsid w:val="00A4754D"/>
    <w:rsid w:val="00A658DD"/>
    <w:rsid w:val="00A676A4"/>
    <w:rsid w:val="00A717B0"/>
    <w:rsid w:val="00A85288"/>
    <w:rsid w:val="00A8764F"/>
    <w:rsid w:val="00AB2B0D"/>
    <w:rsid w:val="00AB71A5"/>
    <w:rsid w:val="00AC18C2"/>
    <w:rsid w:val="00AC5E10"/>
    <w:rsid w:val="00AD37EA"/>
    <w:rsid w:val="00AD4058"/>
    <w:rsid w:val="00AF30DE"/>
    <w:rsid w:val="00B04671"/>
    <w:rsid w:val="00B12962"/>
    <w:rsid w:val="00B15F45"/>
    <w:rsid w:val="00B32265"/>
    <w:rsid w:val="00B412FE"/>
    <w:rsid w:val="00B5102D"/>
    <w:rsid w:val="00B521B7"/>
    <w:rsid w:val="00B727AD"/>
    <w:rsid w:val="00BA5DAD"/>
    <w:rsid w:val="00BB1D60"/>
    <w:rsid w:val="00BC76C0"/>
    <w:rsid w:val="00BD6410"/>
    <w:rsid w:val="00BE0AE8"/>
    <w:rsid w:val="00C101FB"/>
    <w:rsid w:val="00C342BC"/>
    <w:rsid w:val="00C370D1"/>
    <w:rsid w:val="00C67022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E4E72"/>
    <w:rsid w:val="00CF6708"/>
    <w:rsid w:val="00D06ADB"/>
    <w:rsid w:val="00D0779D"/>
    <w:rsid w:val="00D152B5"/>
    <w:rsid w:val="00D1550E"/>
    <w:rsid w:val="00D21ABA"/>
    <w:rsid w:val="00D23280"/>
    <w:rsid w:val="00D24937"/>
    <w:rsid w:val="00D30E6A"/>
    <w:rsid w:val="00D330F7"/>
    <w:rsid w:val="00D355A3"/>
    <w:rsid w:val="00D35AEC"/>
    <w:rsid w:val="00D469A0"/>
    <w:rsid w:val="00D6182E"/>
    <w:rsid w:val="00D64F13"/>
    <w:rsid w:val="00D67953"/>
    <w:rsid w:val="00D70DBA"/>
    <w:rsid w:val="00D7585F"/>
    <w:rsid w:val="00D80DD5"/>
    <w:rsid w:val="00D84C32"/>
    <w:rsid w:val="00D92EBE"/>
    <w:rsid w:val="00DB0BF7"/>
    <w:rsid w:val="00DB131F"/>
    <w:rsid w:val="00DB41A0"/>
    <w:rsid w:val="00DC5FB3"/>
    <w:rsid w:val="00E039A3"/>
    <w:rsid w:val="00E044F7"/>
    <w:rsid w:val="00E17DF2"/>
    <w:rsid w:val="00E2684E"/>
    <w:rsid w:val="00E4594B"/>
    <w:rsid w:val="00E507CC"/>
    <w:rsid w:val="00E61516"/>
    <w:rsid w:val="00E63C9E"/>
    <w:rsid w:val="00E734E3"/>
    <w:rsid w:val="00E7597F"/>
    <w:rsid w:val="00E81C0D"/>
    <w:rsid w:val="00E9635D"/>
    <w:rsid w:val="00EA76EE"/>
    <w:rsid w:val="00EA7967"/>
    <w:rsid w:val="00EB39F9"/>
    <w:rsid w:val="00EC2141"/>
    <w:rsid w:val="00EE06F8"/>
    <w:rsid w:val="00EE0DAB"/>
    <w:rsid w:val="00EE1AC2"/>
    <w:rsid w:val="00F170F4"/>
    <w:rsid w:val="00F3010C"/>
    <w:rsid w:val="00F352D5"/>
    <w:rsid w:val="00F53301"/>
    <w:rsid w:val="00F550BE"/>
    <w:rsid w:val="00F56174"/>
    <w:rsid w:val="00F61A97"/>
    <w:rsid w:val="00F745F2"/>
    <w:rsid w:val="00F80574"/>
    <w:rsid w:val="00F87100"/>
    <w:rsid w:val="00FA682B"/>
    <w:rsid w:val="00FB6A6F"/>
    <w:rsid w:val="00FC2D99"/>
    <w:rsid w:val="00FE1E8E"/>
    <w:rsid w:val="00FE4D20"/>
    <w:rsid w:val="00FF0724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D152B5"/>
    <w:rPr>
      <w:color w:val="0000FF"/>
      <w:u w:val="single"/>
    </w:rPr>
  </w:style>
  <w:style w:type="character" w:styleId="Emphasis">
    <w:name w:val="Emphasis"/>
    <w:uiPriority w:val="20"/>
    <w:qFormat/>
    <w:rsid w:val="00AC1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eybusinessreview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b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inessinsid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5E1D-3300-4D3A-A6E2-1E54075F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Ahmed-Under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Dr. Ali Al Sudany</dc:creator>
  <cp:lastModifiedBy>DELL1</cp:lastModifiedBy>
  <cp:revision>47</cp:revision>
  <cp:lastPrinted>2014-02-11T22:56:00Z</cp:lastPrinted>
  <dcterms:created xsi:type="dcterms:W3CDTF">2014-05-13T21:36:00Z</dcterms:created>
  <dcterms:modified xsi:type="dcterms:W3CDTF">2018-06-30T21:33:00Z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