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F7" w:rsidRDefault="00AB76EC" w:rsidP="0083225D">
      <w:pPr>
        <w:jc w:val="center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3028E6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3028E6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المحاسبة</w:t>
                            </w:r>
                          </w:p>
                          <w:p w:rsidR="004A7D3C" w:rsidRPr="0041130E" w:rsidRDefault="00125D5F" w:rsidP="003028E6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3028E6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الثالثة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3028E6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3028E6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المحاسبة</w:t>
                      </w:r>
                    </w:p>
                    <w:p w:rsidR="004A7D3C" w:rsidRPr="0041130E" w:rsidRDefault="00125D5F" w:rsidP="003028E6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3028E6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الثالثة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3028E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د . دجلة عبد الحسين عبد</w:t>
      </w:r>
      <w:r w:rsidR="00BA7EC4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3028E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 مدرس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3028E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125D5F" w:rsidRPr="00D65493" w:rsidRDefault="00AB76EC" w:rsidP="00B619CD">
      <w:pPr>
        <w:spacing w:line="48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330199</wp:posOffset>
                </wp:positionV>
                <wp:extent cx="6933565" cy="0"/>
                <wp:effectExtent l="19050" t="19050" r="635" b="190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F5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65493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</w:t>
      </w:r>
      <w:r w:rsidR="00BA7EC4">
        <w:rPr>
          <w:rFonts w:asciiTheme="minorBidi" w:hAnsiTheme="minorBidi" w:cstheme="minorBidi"/>
          <w:sz w:val="28"/>
          <w:szCs w:val="28"/>
        </w:rPr>
        <w:t>d.muhsin1@yahoo.com</w:t>
      </w: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D65493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  لا يوجد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</w:p>
    <w:p w:rsidR="00BF5A57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BA7EC4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Pr="00891EA9" w:rsidRDefault="00AB76EC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107314</wp:posOffset>
                </wp:positionV>
                <wp:extent cx="6933565" cy="0"/>
                <wp:effectExtent l="19050" t="19050" r="635" b="190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4CC8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D65493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   لا يوجد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BA7EC4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511"/>
        <w:gridCol w:w="1514"/>
        <w:gridCol w:w="761"/>
        <w:gridCol w:w="754"/>
        <w:gridCol w:w="1515"/>
        <w:gridCol w:w="1515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9560A5" w:rsidRPr="009956E6" w:rsidRDefault="003028E6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تحليل قوائم مالية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  <w:r w:rsidR="003028E6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/   </w:t>
            </w:r>
            <w:r w:rsidR="003028E6" w:rsidRPr="00D65493">
              <w:rPr>
                <w:rFonts w:cs="Simplified Arabic" w:hint="cs"/>
                <w:sz w:val="28"/>
                <w:szCs w:val="28"/>
                <w:rtl/>
              </w:rPr>
              <w:t>نعم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0A5" w:rsidRPr="003028E6" w:rsidRDefault="003028E6" w:rsidP="001D5EF4">
            <w:pPr>
              <w:bidi w:val="0"/>
              <w:ind w:left="2552"/>
              <w:rPr>
                <w:rFonts w:cs="Simplified Arabic"/>
                <w:sz w:val="28"/>
                <w:szCs w:val="28"/>
                <w:lang w:bidi="ar-IQ"/>
              </w:rPr>
            </w:pPr>
            <w:r w:rsidRPr="003028E6">
              <w:rPr>
                <w:rFonts w:cs="Simplified Arabic" w:hint="cs"/>
                <w:sz w:val="28"/>
                <w:szCs w:val="28"/>
                <w:rtl/>
                <w:lang w:bidi="ar-IQ"/>
              </w:rPr>
              <w:t>تعريف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الطالب بمفهوم الادارة المالية </w:t>
            </w:r>
            <w:r w:rsidR="00B55A2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والتحليل المالي والعلاقة مع المحاسبة </w:t>
            </w:r>
            <w:r w:rsidR="001D5EF4">
              <w:rPr>
                <w:rFonts w:cs="Simplified Arabic" w:hint="cs"/>
                <w:sz w:val="28"/>
                <w:szCs w:val="28"/>
                <w:rtl/>
                <w:lang w:bidi="ar-IQ"/>
              </w:rPr>
              <w:t>ودراسة</w:t>
            </w:r>
            <w:r w:rsidR="00B55A2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ادوات التحليل المالي ودورة المجرى النقدي وقائمة التدفقات النقدية </w:t>
            </w:r>
            <w:r w:rsidR="001D5EF4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وزيادة معرفة الطالب بطرق التنبؤ بالمبيعات وتقييم المشاريع الاستثمارية والكلفة المرجحة لرأس المال .         </w:t>
            </w:r>
            <w:r w:rsidR="00B55A2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3028E6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F59B0" w:rsidRPr="00384B08" w:rsidTr="00AB3594">
        <w:trPr>
          <w:trHeight w:val="193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77616" w:rsidRDefault="00C77616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</w:p>
          <w:p w:rsidR="00886F85" w:rsidRDefault="00C77616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>تحليل ومناقشة القوائم المالية / أ.م. د. قاسم محسن الحبيطي</w:t>
            </w:r>
          </w:p>
          <w:p w:rsidR="00C77616" w:rsidRPr="00B969D9" w:rsidRDefault="00C77616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CF59B0" w:rsidRPr="00384B08" w:rsidTr="00B619CD">
        <w:trPr>
          <w:trHeight w:val="2180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C77616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C77616" w:rsidRDefault="00C77616" w:rsidP="00B619C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sz w:val="32"/>
                <w:szCs w:val="32"/>
                <w:rtl/>
              </w:rPr>
            </w:pPr>
            <w:r w:rsidRPr="00C77616">
              <w:rPr>
                <w:rFonts w:cs="Simplified Arabic" w:hint="cs"/>
                <w:sz w:val="32"/>
                <w:szCs w:val="32"/>
                <w:rtl/>
              </w:rPr>
              <w:t>الادارة المالية / محمد علي العامري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7616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7616" w:rsidP="00384B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30%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9956E6" w:rsidRPr="00384B08" w:rsidRDefault="00C77616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60%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886F8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="00770ECA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EA30C6" w:rsidRPr="00886F85" w:rsidRDefault="0050313D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EA30C6" w:rsidRPr="00384B08" w:rsidRDefault="00D65493" w:rsidP="005843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طبيعة الادارة المالية ومفاهيمها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EA30C6" w:rsidRPr="00384B08" w:rsidRDefault="00D65493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القوائم المالية : مصدر للمعلومات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EA30C6" w:rsidRPr="00384B08" w:rsidRDefault="00D65493" w:rsidP="00655F1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القوائم المالية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EA30C6" w:rsidRPr="00384B08" w:rsidRDefault="00D65493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دورة المجرى النقدي ورأس المال العامل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EA30C6" w:rsidRPr="00384B08" w:rsidRDefault="00D65493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قائمة التدفقات النقدية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EA30C6" w:rsidRPr="00384B08" w:rsidRDefault="00D65493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التنبؤ بالمبيعات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EA30C6" w:rsidRPr="00886F85" w:rsidRDefault="007D7B65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EA30C6" w:rsidRPr="00384B08" w:rsidRDefault="00D65493" w:rsidP="0058439D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تقييم المشاريع الاستثمارية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86F85" w:rsidRPr="00384B08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86F85" w:rsidRPr="005862E3" w:rsidRDefault="00886F8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886F85" w:rsidRPr="00086237" w:rsidRDefault="00886F85" w:rsidP="00086237">
            <w:pPr>
              <w:jc w:val="center"/>
              <w:rPr>
                <w:b/>
                <w:bCs/>
              </w:rPr>
            </w:pPr>
          </w:p>
        </w:tc>
      </w:tr>
      <w:tr w:rsidR="00D30EF1" w:rsidRPr="00384B08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:rsidR="00D30EF1" w:rsidRPr="005862E3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D30EF1" w:rsidRPr="00863D45" w:rsidRDefault="00C86FEE" w:rsidP="00C86F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="00770E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245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C86FEE" w:rsidRPr="00384B08" w:rsidRDefault="00C86FEE" w:rsidP="00D30EF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C86FEE" w:rsidRPr="00384B08" w:rsidRDefault="00C86FEE" w:rsidP="00812B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2" w:type="dxa"/>
            <w:vAlign w:val="center"/>
          </w:tcPr>
          <w:p w:rsidR="007D7B65" w:rsidRPr="00886F85" w:rsidRDefault="007D7B65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7D7B65" w:rsidRPr="00545632" w:rsidRDefault="007D7B65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5D553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7D7B65" w:rsidRPr="004859F1" w:rsidRDefault="007D7B65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DD7CE8" w:rsidP="00B619CD">
      <w:pPr>
        <w:rPr>
          <w:b/>
          <w:bCs/>
          <w:sz w:val="28"/>
          <w:szCs w:val="28"/>
          <w:rtl/>
        </w:rPr>
      </w:pPr>
    </w:p>
    <w:sectPr w:rsidR="00DD7CE8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FB" w:rsidRDefault="00A118FB" w:rsidP="006716C3">
      <w:r>
        <w:separator/>
      </w:r>
    </w:p>
  </w:endnote>
  <w:endnote w:type="continuationSeparator" w:id="0">
    <w:p w:rsidR="00A118FB" w:rsidRDefault="00A118FB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GoodKitty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FB" w:rsidRDefault="00A118FB" w:rsidP="006716C3">
      <w:r>
        <w:separator/>
      </w:r>
    </w:p>
  </w:footnote>
  <w:footnote w:type="continuationSeparator" w:id="0">
    <w:p w:rsidR="00A118FB" w:rsidRDefault="00A118FB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A118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18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A118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7" type="#_x0000_t75" style="width:12pt;height:12pt" o:bullet="t">
        <v:imagedata r:id="rId1" o:title=""/>
      </v:shape>
    </w:pict>
  </w:numPicBullet>
  <w:abstractNum w:abstractNumId="0" w15:restartNumberingAfterBreak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7044"/>
    <w:rsid w:val="00112DA0"/>
    <w:rsid w:val="00124165"/>
    <w:rsid w:val="00125D5F"/>
    <w:rsid w:val="001272F4"/>
    <w:rsid w:val="00131628"/>
    <w:rsid w:val="001A6990"/>
    <w:rsid w:val="001D1221"/>
    <w:rsid w:val="001D5EF4"/>
    <w:rsid w:val="00213CA0"/>
    <w:rsid w:val="002566BA"/>
    <w:rsid w:val="00282F65"/>
    <w:rsid w:val="002D3FF6"/>
    <w:rsid w:val="002E4DA9"/>
    <w:rsid w:val="00300767"/>
    <w:rsid w:val="003028E6"/>
    <w:rsid w:val="003032A0"/>
    <w:rsid w:val="00342163"/>
    <w:rsid w:val="00384B08"/>
    <w:rsid w:val="00385F7C"/>
    <w:rsid w:val="003E33A7"/>
    <w:rsid w:val="003F0AD1"/>
    <w:rsid w:val="003F5136"/>
    <w:rsid w:val="0041130E"/>
    <w:rsid w:val="004332CE"/>
    <w:rsid w:val="00457A4B"/>
    <w:rsid w:val="0047594F"/>
    <w:rsid w:val="00475AEA"/>
    <w:rsid w:val="004859F1"/>
    <w:rsid w:val="004A7D3C"/>
    <w:rsid w:val="004B3A3C"/>
    <w:rsid w:val="0050313D"/>
    <w:rsid w:val="0058439D"/>
    <w:rsid w:val="005862E3"/>
    <w:rsid w:val="005B236D"/>
    <w:rsid w:val="005C1C01"/>
    <w:rsid w:val="005D586F"/>
    <w:rsid w:val="00605CBD"/>
    <w:rsid w:val="00621356"/>
    <w:rsid w:val="006228F7"/>
    <w:rsid w:val="00640011"/>
    <w:rsid w:val="006404A6"/>
    <w:rsid w:val="00651728"/>
    <w:rsid w:val="00655F1E"/>
    <w:rsid w:val="006716C3"/>
    <w:rsid w:val="00690B80"/>
    <w:rsid w:val="006B5672"/>
    <w:rsid w:val="006B776F"/>
    <w:rsid w:val="006B7B4D"/>
    <w:rsid w:val="006D0747"/>
    <w:rsid w:val="006D4A36"/>
    <w:rsid w:val="00712957"/>
    <w:rsid w:val="007210EE"/>
    <w:rsid w:val="00753D8B"/>
    <w:rsid w:val="007559AE"/>
    <w:rsid w:val="00760B71"/>
    <w:rsid w:val="00770ECA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63D45"/>
    <w:rsid w:val="00886F85"/>
    <w:rsid w:val="00891EA9"/>
    <w:rsid w:val="008A06DE"/>
    <w:rsid w:val="008C4BAF"/>
    <w:rsid w:val="00951EAD"/>
    <w:rsid w:val="009560A5"/>
    <w:rsid w:val="009606CB"/>
    <w:rsid w:val="009800A8"/>
    <w:rsid w:val="009956E6"/>
    <w:rsid w:val="009A1B5C"/>
    <w:rsid w:val="009B6067"/>
    <w:rsid w:val="00A068AE"/>
    <w:rsid w:val="00A118FB"/>
    <w:rsid w:val="00A1380C"/>
    <w:rsid w:val="00A14537"/>
    <w:rsid w:val="00A72554"/>
    <w:rsid w:val="00A8213B"/>
    <w:rsid w:val="00A82BB4"/>
    <w:rsid w:val="00AB3594"/>
    <w:rsid w:val="00AB76EC"/>
    <w:rsid w:val="00AD224A"/>
    <w:rsid w:val="00AD2CA8"/>
    <w:rsid w:val="00AE36CF"/>
    <w:rsid w:val="00B12133"/>
    <w:rsid w:val="00B55A2D"/>
    <w:rsid w:val="00B619CD"/>
    <w:rsid w:val="00B64391"/>
    <w:rsid w:val="00B86234"/>
    <w:rsid w:val="00B969D9"/>
    <w:rsid w:val="00BA7EC4"/>
    <w:rsid w:val="00BC3D6A"/>
    <w:rsid w:val="00BD4F2C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71EC3"/>
    <w:rsid w:val="00C77616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65493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44977"/>
    <w:rsid w:val="00F53FC5"/>
    <w:rsid w:val="00F62A56"/>
    <w:rsid w:val="00F948E1"/>
    <w:rsid w:val="00FB31A6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50C42B3A-2245-4BE5-A2F4-34DE305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Maher</cp:lastModifiedBy>
  <cp:revision>2</cp:revision>
  <cp:lastPrinted>2010-09-26T09:25:00Z</cp:lastPrinted>
  <dcterms:created xsi:type="dcterms:W3CDTF">2018-11-10T23:34:00Z</dcterms:created>
  <dcterms:modified xsi:type="dcterms:W3CDTF">2018-11-10T23:34:00Z</dcterms:modified>
</cp:coreProperties>
</file>