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F7" w:rsidRDefault="007F7783" w:rsidP="0083225D">
      <w:pPr>
        <w:jc w:val="center"/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-271145</wp:posOffset>
                </wp:positionV>
                <wp:extent cx="2103120" cy="1109345"/>
                <wp:effectExtent l="0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الإدارة والاقتصاد</w:t>
                            </w:r>
                          </w:p>
                          <w:p w:rsidR="004A7D3C" w:rsidRPr="0041130E" w:rsidRDefault="00125D5F" w:rsidP="00E90F17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القسم </w:t>
                            </w:r>
                            <w:r w:rsidR="00E90F1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 المحاسبة</w:t>
                            </w:r>
                          </w:p>
                          <w:p w:rsidR="004A7D3C" w:rsidRPr="0041130E" w:rsidRDefault="00125D5F" w:rsidP="00E90F17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E90F1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D30EF1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</w:t>
                            </w:r>
                            <w:r w:rsidR="00E90F1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لثالثة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2pt;margin-top:-21.35pt;width:165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K6gw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الإدارة والاقتصاد</w:t>
                      </w:r>
                    </w:p>
                    <w:p w:rsidR="004A7D3C" w:rsidRPr="0041130E" w:rsidRDefault="00125D5F" w:rsidP="00E90F17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القسم </w:t>
                      </w:r>
                      <w:r w:rsidR="00E90F1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 المحاسبة</w:t>
                      </w:r>
                    </w:p>
                    <w:p w:rsidR="004A7D3C" w:rsidRPr="0041130E" w:rsidRDefault="00125D5F" w:rsidP="00E90F17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E90F1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D30EF1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</w:t>
                      </w:r>
                      <w:r w:rsidR="00E90F1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لثالثة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2E4DA9" w:rsidRDefault="00E90F17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إ</w: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سم</w: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2733AF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أ.د. بشرى نجم</w:t>
      </w:r>
      <w:r w:rsidR="002733AF">
        <w:rPr>
          <w:rFonts w:asciiTheme="minorBidi" w:hAnsiTheme="minorBidi" w:cstheme="minorBidi" w:hint="cs"/>
          <w:b/>
          <w:bCs/>
          <w:noProof/>
          <w:sz w:val="28"/>
          <w:szCs w:val="26"/>
          <w:vertAlign w:val="superscript"/>
          <w:rtl/>
          <w:lang w:bidi="ar-IQ"/>
        </w:rPr>
        <w:t xml:space="preserve"> </w:t>
      </w:r>
      <w:r w:rsidR="002733AF" w:rsidRPr="002733AF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عبدالله المشهداني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2733AF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أستاذ</w:t>
      </w:r>
    </w:p>
    <w:p w:rsidR="00651728" w:rsidRPr="002733AF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2733AF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125D5F" w:rsidRPr="002733AF" w:rsidRDefault="008A06DE" w:rsidP="00B619CD">
      <w:pPr>
        <w:spacing w:line="480" w:lineRule="auto"/>
        <w:rPr>
          <w:rFonts w:asciiTheme="minorBidi" w:hAnsiTheme="minorBidi" w:cstheme="minorBidi"/>
          <w:b/>
          <w:bCs/>
        </w:rPr>
      </w:pPr>
      <w:r w:rsidRPr="002733AF">
        <w:rPr>
          <w:rFonts w:asciiTheme="minorBidi" w:hAnsiTheme="minorBidi" w:cs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61BB05" wp14:editId="6B507F10">
                <wp:simplePos x="0" y="0"/>
                <wp:positionH relativeFrom="column">
                  <wp:posOffset>-306070</wp:posOffset>
                </wp:positionH>
                <wp:positionV relativeFrom="paragraph">
                  <wp:posOffset>330200</wp:posOffset>
                </wp:positionV>
                <wp:extent cx="6933565" cy="0"/>
                <wp:effectExtent l="0" t="19050" r="19685" b="381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4A4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-24.1pt;margin-top:26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CJuN4O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  <w:r w:rsidR="00651728" w:rsidRPr="002733AF">
        <w:rPr>
          <w:rFonts w:asciiTheme="minorBidi" w:hAnsiTheme="minorBidi" w:cstheme="minorBidi"/>
          <w:b/>
          <w:bCs/>
          <w:noProof/>
          <w:rtl/>
          <w:lang w:bidi="ar-IQ"/>
        </w:rPr>
        <w:t>البريد الألكتروني:</w:t>
      </w:r>
      <w:r w:rsidR="00D2185A" w:rsidRPr="002733AF">
        <w:rPr>
          <w:rFonts w:asciiTheme="minorBidi" w:hAnsiTheme="minorBidi" w:cstheme="minorBidi"/>
          <w:b/>
          <w:bCs/>
          <w:noProof/>
          <w:rtl/>
          <w:lang w:bidi="ar-IQ"/>
        </w:rPr>
        <w:t xml:space="preserve"> </w:t>
      </w:r>
      <w:r w:rsidR="002733AF" w:rsidRPr="002733AF">
        <w:rPr>
          <w:rFonts w:asciiTheme="minorBidi" w:hAnsiTheme="minorBidi" w:cstheme="minorBidi"/>
          <w:b/>
          <w:bCs/>
          <w:noProof/>
          <w:lang w:val="en-GB" w:bidi="ar-IQ"/>
        </w:rPr>
        <w:t>bushra.najm</w:t>
      </w:r>
      <w:r w:rsidR="002733AF" w:rsidRPr="002733AF">
        <w:rPr>
          <w:rFonts w:asciiTheme="minorBidi" w:hAnsiTheme="minorBidi" w:cstheme="minorBidi"/>
          <w:b/>
          <w:bCs/>
          <w:noProof/>
          <w:lang w:bidi="ar-IQ"/>
        </w:rPr>
        <w:t>@coadec.uobaghdad.edu.iq</w:t>
      </w:r>
    </w:p>
    <w:p w:rsidR="002E4D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8F52C9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م.د. لبنى زيد إبراهيم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للقب العلمي :</w:t>
      </w:r>
      <w:r w:rsidR="008F52C9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مدرس</w:t>
      </w:r>
    </w:p>
    <w:p w:rsidR="00BF5A57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8F52C9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دكتوراه </w:t>
      </w:r>
    </w:p>
    <w:p w:rsidR="00651728" w:rsidRPr="008F588B" w:rsidRDefault="00651728" w:rsidP="008F588B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lang w:val="en-GB"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8F588B" w:rsidRPr="008F588B">
        <w:rPr>
          <w:rFonts w:asciiTheme="minorBidi" w:hAnsiTheme="minorBidi" w:cstheme="minorBidi"/>
          <w:b/>
          <w:bCs/>
          <w:noProof/>
          <w:lang w:val="en-GB" w:bidi="ar-IQ"/>
        </w:rPr>
        <w:t>lubnaibrahim47</w:t>
      </w:r>
      <w:r w:rsidR="008F588B" w:rsidRPr="008F588B">
        <w:rPr>
          <w:rFonts w:asciiTheme="minorBidi" w:hAnsiTheme="minorBidi" w:cstheme="minorBidi"/>
          <w:b/>
          <w:bCs/>
          <w:noProof/>
          <w:lang w:bidi="ar-IQ"/>
        </w:rPr>
        <w:t>@</w:t>
      </w:r>
      <w:r w:rsidR="008F588B" w:rsidRPr="008F588B">
        <w:rPr>
          <w:rFonts w:asciiTheme="minorBidi" w:hAnsiTheme="minorBidi" w:cstheme="minorBidi"/>
          <w:b/>
          <w:bCs/>
          <w:noProof/>
          <w:lang w:val="en-GB" w:bidi="ar-IQ"/>
        </w:rPr>
        <w:t>gmail.com</w:t>
      </w:r>
    </w:p>
    <w:p w:rsidR="006B5672" w:rsidRPr="00891EA9" w:rsidRDefault="007F7783" w:rsidP="00651728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F1D4C" id="AutoShape 23" o:spid="_x0000_s1026" type="#_x0000_t32" style="position:absolute;left:0;text-align:left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1509"/>
        <w:gridCol w:w="1512"/>
        <w:gridCol w:w="762"/>
        <w:gridCol w:w="754"/>
        <w:gridCol w:w="1513"/>
        <w:gridCol w:w="1514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651728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91EA9">
              <w:rPr>
                <w:rFonts w:asciiTheme="minorBidi" w:hAnsiTheme="minorBidi" w:cstheme="minorBidi"/>
                <w:b/>
                <w:bCs/>
                <w:noProof/>
                <w:sz w:val="28"/>
                <w:szCs w:val="26"/>
                <w:rtl/>
                <w:lang w:bidi="ar-IQ"/>
              </w:rPr>
              <w:t>:</w:t>
            </w:r>
            <w:r w:rsidR="00125D5F"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="00125D5F"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="00125D5F"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2733AF" w:rsidRPr="009956E6" w:rsidRDefault="002733AF" w:rsidP="002733AF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محاسبة شركات</w:t>
            </w:r>
            <w:r w:rsidR="00EA2BE1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ك1 + محاسبة مالية متقدمة ك2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2733AF" w:rsidRDefault="00CC4920" w:rsidP="002733AF">
            <w:pPr>
              <w:pStyle w:val="ListParagraph"/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2733AF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2733AF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2733AF">
        <w:trPr>
          <w:trHeight w:val="1413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60A5" w:rsidRDefault="00EA2BE1" w:rsidP="002733AF">
            <w:pPr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تتناول محاسبة الشركات </w:t>
            </w:r>
            <w:r w:rsidR="001048EE">
              <w:rPr>
                <w:rFonts w:cs="Simplified Arabic" w:hint="cs"/>
                <w:b/>
                <w:bCs/>
                <w:rtl/>
                <w:lang w:bidi="ar-IQ"/>
              </w:rPr>
              <w:t xml:space="preserve">ك 1 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: </w:t>
            </w:r>
            <w:r w:rsidR="002733AF" w:rsidRPr="002733AF">
              <w:rPr>
                <w:rFonts w:cs="Simplified Arabic" w:hint="cs"/>
                <w:b/>
                <w:bCs/>
                <w:rtl/>
                <w:lang w:bidi="ar-IQ"/>
              </w:rPr>
              <w:t xml:space="preserve">تحديد الخصائص القانونية والاقتصادية لشركات الأشخاص ومن أبرزها الشركات التضامنية وشركات الأموال ومن أبرزها الشركات المساهمة </w:t>
            </w:r>
            <w:r w:rsidR="002733AF">
              <w:rPr>
                <w:rFonts w:cs="Simplified Arabic" w:hint="cs"/>
                <w:b/>
                <w:bCs/>
                <w:rtl/>
                <w:lang w:bidi="ar-IQ"/>
              </w:rPr>
              <w:t>ومن ثم بيان إنعكاساتها المحاسبية وتحديداً لأنواع معينة من المعاملات المالية ومن ثم تحديد طبيعة ومضمون القوائم المالية لكلٍ منهما.</w:t>
            </w:r>
          </w:p>
          <w:p w:rsidR="00EA2BE1" w:rsidRPr="001048EE" w:rsidRDefault="00EA2BE1" w:rsidP="001048EE">
            <w:pPr>
              <w:jc w:val="both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تتناول </w:t>
            </w:r>
            <w:r w:rsidR="001048EE">
              <w:rPr>
                <w:rFonts w:cs="Simplified Arabic" w:hint="cs"/>
                <w:b/>
                <w:bCs/>
                <w:rtl/>
                <w:lang w:bidi="ar-IQ"/>
              </w:rPr>
              <w:t>المحاسبة المالية المتقدمة ك 2 مواضيع متقدمة</w:t>
            </w:r>
            <w:r w:rsidR="00195018"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  <w:r w:rsidR="001048EE">
              <w:rPr>
                <w:rFonts w:cs="Simplified Arabic" w:hint="cs"/>
                <w:b/>
                <w:bCs/>
                <w:rtl/>
                <w:lang w:bidi="ar-IQ"/>
              </w:rPr>
              <w:t xml:space="preserve">في المحاسبة المالية وهي الإندماج على وفق </w:t>
            </w:r>
            <w:r w:rsidR="001048EE">
              <w:rPr>
                <w:rFonts w:cs="Simplified Arabic"/>
                <w:b/>
                <w:bCs/>
                <w:lang w:val="en-GB" w:bidi="ar-IQ"/>
              </w:rPr>
              <w:t>IFRS 3</w:t>
            </w:r>
            <w:r w:rsidR="001048EE">
              <w:rPr>
                <w:rFonts w:cs="Simplified Arabic" w:hint="cs"/>
                <w:b/>
                <w:bCs/>
                <w:rtl/>
                <w:lang w:bidi="ar-IQ"/>
              </w:rPr>
              <w:t xml:space="preserve"> والإبلاغ المالي القطاعي على وفق </w:t>
            </w:r>
            <w:r w:rsidR="001048EE">
              <w:rPr>
                <w:rFonts w:cs="Simplified Arabic"/>
                <w:b/>
                <w:bCs/>
                <w:lang w:val="en-GB" w:bidi="ar-IQ"/>
              </w:rPr>
              <w:t>IFRS 8</w:t>
            </w:r>
            <w:r w:rsidR="001048EE">
              <w:rPr>
                <w:rFonts w:cs="Simplified Arabic" w:hint="cs"/>
                <w:b/>
                <w:bCs/>
                <w:rtl/>
                <w:lang w:bidi="ar-IQ"/>
              </w:rPr>
              <w:t xml:space="preserve"> وكذلك المعالجة المحاسبية في سجلات الفروع المستقلة </w:t>
            </w:r>
            <w:r w:rsidR="00195018">
              <w:rPr>
                <w:rFonts w:cs="Simplified Arabic" w:hint="cs"/>
                <w:b/>
                <w:bCs/>
                <w:rtl/>
                <w:lang w:bidi="ar-IQ"/>
              </w:rPr>
              <w:t>و</w:t>
            </w:r>
            <w:r w:rsidR="001048EE">
              <w:rPr>
                <w:rFonts w:cs="Simplified Arabic" w:hint="cs"/>
                <w:b/>
                <w:bCs/>
                <w:rtl/>
                <w:lang w:bidi="ar-IQ"/>
              </w:rPr>
              <w:t xml:space="preserve">القوائم المالية الموحدة </w:t>
            </w:r>
          </w:p>
        </w:tc>
      </w:tr>
      <w:tr w:rsidR="00CF59B0" w:rsidRPr="00384B08" w:rsidTr="00FA295A">
        <w:trPr>
          <w:trHeight w:val="1233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2733AF" w:rsidRDefault="00B969D9" w:rsidP="00B619CD">
            <w:pPr>
              <w:ind w:left="360"/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</w:pPr>
            <w:r w:rsidRPr="00B969D9"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86F85" w:rsidRDefault="002733AF" w:rsidP="00B619CD">
            <w:pPr>
              <w:ind w:left="360"/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المحاسبة المالية المتقدمة </w:t>
            </w:r>
            <w:r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 مفاهيم نظرية وتطبيقات عملية </w:t>
            </w:r>
          </w:p>
          <w:p w:rsidR="002733AF" w:rsidRPr="00B969D9" w:rsidRDefault="002733AF" w:rsidP="00B619CD">
            <w:pPr>
              <w:ind w:left="360"/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>المشهداني , بشرى نجم عبدالله وآخرون - 2014</w:t>
            </w:r>
          </w:p>
        </w:tc>
      </w:tr>
      <w:tr w:rsidR="00CF59B0" w:rsidRPr="00384B08" w:rsidTr="00EA2BE1">
        <w:trPr>
          <w:trHeight w:val="1525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FA295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</w:t>
            </w:r>
            <w:r w:rsidR="00CF59B0"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195018" w:rsidRDefault="002733AF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28"/>
                <w:szCs w:val="28"/>
              </w:rPr>
            </w:pPr>
            <w:r w:rsidRPr="00195018">
              <w:rPr>
                <w:rFonts w:cs="Simplified Arabic"/>
                <w:b/>
                <w:bCs/>
                <w:sz w:val="28"/>
                <w:szCs w:val="28"/>
                <w:lang w:val="en-GB"/>
              </w:rPr>
              <w:t>Advanced Accounting , Jeter &amp; Chaney, 2015</w:t>
            </w:r>
            <w:r w:rsidR="00951EAD" w:rsidRPr="0019501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951EAD" w:rsidRPr="00EA2BE1" w:rsidRDefault="002733AF" w:rsidP="00EA2BE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195018">
              <w:rPr>
                <w:rFonts w:cs="Simplified Arabic"/>
                <w:b/>
                <w:bCs/>
                <w:sz w:val="28"/>
                <w:szCs w:val="28"/>
              </w:rPr>
              <w:t xml:space="preserve">Intermediate Accounting , Kieso et al ,2018 </w:t>
            </w:r>
            <w:r w:rsidR="00951EAD" w:rsidRPr="00EA2BE1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D96E8B">
        <w:trPr>
          <w:trHeight w:val="433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EA2BE1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30%</w:t>
            </w:r>
          </w:p>
        </w:tc>
        <w:tc>
          <w:tcPr>
            <w:tcW w:w="1532" w:type="dxa"/>
          </w:tcPr>
          <w:p w:rsidR="00BC3D6A" w:rsidRPr="00384B08" w:rsidRDefault="00EA2BE1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---</w:t>
            </w:r>
          </w:p>
        </w:tc>
        <w:tc>
          <w:tcPr>
            <w:tcW w:w="1531" w:type="dxa"/>
            <w:gridSpan w:val="2"/>
          </w:tcPr>
          <w:p w:rsidR="00BC3D6A" w:rsidRPr="00384B08" w:rsidRDefault="00EA2BE1" w:rsidP="00384B08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10%</w:t>
            </w:r>
          </w:p>
        </w:tc>
        <w:tc>
          <w:tcPr>
            <w:tcW w:w="1532" w:type="dxa"/>
          </w:tcPr>
          <w:p w:rsidR="00BC3D6A" w:rsidRPr="00384B08" w:rsidRDefault="00EA2BE1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---</w:t>
            </w:r>
          </w:p>
        </w:tc>
        <w:tc>
          <w:tcPr>
            <w:tcW w:w="1532" w:type="dxa"/>
          </w:tcPr>
          <w:p w:rsidR="009956E6" w:rsidRPr="00384B08" w:rsidRDefault="00EA2BE1" w:rsidP="00B619CD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60%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886F85" w:rsidRPr="00384B08" w:rsidTr="00D96E8B">
        <w:trPr>
          <w:trHeight w:val="332"/>
        </w:trPr>
        <w:tc>
          <w:tcPr>
            <w:tcW w:w="2654" w:type="dxa"/>
            <w:vMerge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886F85" w:rsidRPr="00384B08" w:rsidRDefault="00886F85" w:rsidP="009956E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86F85" w:rsidRPr="00384B08" w:rsidTr="00D96E8B">
        <w:trPr>
          <w:trHeight w:val="1174"/>
        </w:trPr>
        <w:tc>
          <w:tcPr>
            <w:tcW w:w="2654" w:type="dxa"/>
          </w:tcPr>
          <w:p w:rsidR="00886F85" w:rsidRPr="00384B08" w:rsidRDefault="00886F85" w:rsidP="00D96E8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</w:tc>
        <w:tc>
          <w:tcPr>
            <w:tcW w:w="7658" w:type="dxa"/>
            <w:gridSpan w:val="6"/>
          </w:tcPr>
          <w:p w:rsidR="00886F85" w:rsidRDefault="00886F85" w:rsidP="009560A5">
            <w:pPr>
              <w:rPr>
                <w:rFonts w:cs="Simplified Arabic"/>
                <w:b/>
                <w:bCs/>
                <w:lang w:bidi="ar-IQ"/>
              </w:rPr>
            </w:pPr>
          </w:p>
          <w:p w:rsidR="00EA2BE1" w:rsidRPr="00384B08" w:rsidRDefault="00EA2BE1" w:rsidP="009560A5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tbl>
      <w:tblPr>
        <w:bidiVisual/>
        <w:tblW w:w="9834" w:type="dxa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348"/>
        <w:gridCol w:w="5670"/>
        <w:gridCol w:w="1134"/>
      </w:tblGrid>
      <w:tr w:rsidR="00EA30C6" w:rsidRPr="00384B08" w:rsidTr="008F52C9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5843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348" w:type="dxa"/>
            <w:shd w:val="clear" w:color="auto" w:fill="EEECE1" w:themeFill="background2"/>
            <w:vAlign w:val="center"/>
          </w:tcPr>
          <w:p w:rsidR="00EA30C6" w:rsidRPr="008F52C9" w:rsidRDefault="00EA30C6" w:rsidP="005843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F52C9">
              <w:rPr>
                <w:rFonts w:ascii="Arial" w:hAnsi="Arial" w:cs="Arial"/>
                <w:b/>
                <w:bCs/>
                <w:rtl/>
              </w:rPr>
              <w:t>الم</w:t>
            </w:r>
            <w:r w:rsidR="00DD7CE8" w:rsidRPr="008F52C9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8F52C9">
              <w:rPr>
                <w:rFonts w:ascii="Arial" w:hAnsi="Arial" w:cs="Arial"/>
                <w:b/>
                <w:bCs/>
                <w:rtl/>
              </w:rPr>
              <w:t>ادة النظرية</w:t>
            </w:r>
          </w:p>
          <w:p w:rsidR="00D30EF1" w:rsidRPr="008F52C9" w:rsidRDefault="00D30EF1" w:rsidP="005843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EA30C6" w:rsidRPr="008F52C9" w:rsidRDefault="00EA30C6" w:rsidP="005843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F52C9">
              <w:rPr>
                <w:rFonts w:ascii="Arial" w:hAnsi="Arial" w:cs="Arial"/>
                <w:b/>
                <w:bCs/>
                <w:rtl/>
              </w:rPr>
              <w:t>الم</w:t>
            </w:r>
            <w:r w:rsidR="00DD7CE8" w:rsidRPr="008F52C9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8F52C9">
              <w:rPr>
                <w:rFonts w:ascii="Arial" w:hAnsi="Arial" w:cs="Arial"/>
                <w:b/>
                <w:bCs/>
                <w:rtl/>
              </w:rPr>
              <w:t>ادة العلمية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A30C6" w:rsidRPr="008F52C9" w:rsidRDefault="00EA30C6" w:rsidP="005843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F52C9">
              <w:rPr>
                <w:rFonts w:ascii="Arial" w:hAnsi="Arial" w:cs="Arial"/>
                <w:b/>
                <w:bCs/>
                <w:rtl/>
              </w:rPr>
              <w:t>الم</w:t>
            </w:r>
            <w:r w:rsidR="00DD7CE8" w:rsidRPr="008F52C9">
              <w:rPr>
                <w:rFonts w:ascii="Arial" w:hAnsi="Arial" w:cs="Arial" w:hint="cs"/>
                <w:b/>
                <w:bCs/>
                <w:rtl/>
              </w:rPr>
              <w:t>ـ</w:t>
            </w:r>
            <w:r w:rsidRPr="008F52C9">
              <w:rPr>
                <w:rFonts w:ascii="Arial" w:hAnsi="Arial" w:cs="Arial"/>
                <w:b/>
                <w:bCs/>
                <w:rtl/>
              </w:rPr>
              <w:t>لاحظات</w:t>
            </w:r>
          </w:p>
        </w:tc>
      </w:tr>
      <w:tr w:rsidR="00863D45" w:rsidRPr="00384B08" w:rsidTr="008F52C9">
        <w:trPr>
          <w:trHeight w:hRule="exact" w:val="1262"/>
        </w:trPr>
        <w:tc>
          <w:tcPr>
            <w:tcW w:w="682" w:type="dxa"/>
            <w:shd w:val="clear" w:color="auto" w:fill="EEECE1" w:themeFill="background2"/>
            <w:vAlign w:val="center"/>
          </w:tcPr>
          <w:p w:rsidR="00863D45" w:rsidRPr="005862E3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48" w:type="dxa"/>
            <w:vAlign w:val="center"/>
          </w:tcPr>
          <w:p w:rsidR="00863D45" w:rsidRPr="00C86FEE" w:rsidRDefault="00C86FEE" w:rsidP="00C86FEE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The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F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irst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الكورس الأول</w:t>
            </w:r>
          </w:p>
        </w:tc>
        <w:tc>
          <w:tcPr>
            <w:tcW w:w="5670" w:type="dxa"/>
            <w:vAlign w:val="center"/>
          </w:tcPr>
          <w:p w:rsidR="00863D45" w:rsidRPr="00384B08" w:rsidRDefault="00EA2BE1" w:rsidP="005843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محاسبة شركات </w:t>
            </w:r>
          </w:p>
        </w:tc>
        <w:tc>
          <w:tcPr>
            <w:tcW w:w="1134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195018" w:rsidRPr="00384B08" w:rsidTr="008F52C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5018" w:rsidRPr="005862E3" w:rsidRDefault="00195018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348" w:type="dxa"/>
            <w:vAlign w:val="center"/>
          </w:tcPr>
          <w:p w:rsidR="00195018" w:rsidRPr="00886F85" w:rsidRDefault="00195018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670" w:type="dxa"/>
          </w:tcPr>
          <w:p w:rsidR="00195018" w:rsidRDefault="00195018">
            <w:pPr>
              <w:rPr>
                <w:rFonts w:ascii="Calibri" w:eastAsia="Calibri" w:hAnsi="Calibri" w:cs="Arial"/>
                <w:lang w:val="en-GB" w:bidi="ar-IQ"/>
              </w:rPr>
            </w:pPr>
            <w:r>
              <w:rPr>
                <w:rFonts w:ascii="Calibri" w:eastAsia="Calibri" w:hAnsi="Calibri" w:cs="Arial"/>
                <w:rtl/>
                <w:lang w:bidi="ar-IQ"/>
              </w:rPr>
              <w:t>مفهوم الشركات وانواعها وخصائصها</w:t>
            </w:r>
          </w:p>
        </w:tc>
        <w:tc>
          <w:tcPr>
            <w:tcW w:w="1134" w:type="dxa"/>
            <w:vAlign w:val="center"/>
          </w:tcPr>
          <w:p w:rsidR="00195018" w:rsidRPr="00384B08" w:rsidRDefault="00195018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195018" w:rsidRPr="00384B08" w:rsidTr="008F52C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5018" w:rsidRPr="005862E3" w:rsidRDefault="00195018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348" w:type="dxa"/>
            <w:vAlign w:val="center"/>
          </w:tcPr>
          <w:p w:rsidR="00195018" w:rsidRPr="00886F85" w:rsidRDefault="00195018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670" w:type="dxa"/>
          </w:tcPr>
          <w:p w:rsidR="00195018" w:rsidRDefault="00195018">
            <w:pPr>
              <w:rPr>
                <w:rFonts w:ascii="Calibri" w:eastAsia="Calibri" w:hAnsi="Calibri" w:cs="Arial"/>
                <w:lang w:val="en-GB" w:bidi="ar-IQ"/>
              </w:rPr>
            </w:pPr>
            <w:r>
              <w:rPr>
                <w:rFonts w:ascii="Calibri" w:eastAsia="Calibri" w:hAnsi="Calibri" w:cs="Arial"/>
                <w:rtl/>
                <w:lang w:bidi="ar-IQ"/>
              </w:rPr>
              <w:t xml:space="preserve">المعالجات المحاسبية لتكوين رأس مال الشركات التضامنية </w:t>
            </w:r>
          </w:p>
        </w:tc>
        <w:tc>
          <w:tcPr>
            <w:tcW w:w="1134" w:type="dxa"/>
            <w:vAlign w:val="center"/>
          </w:tcPr>
          <w:p w:rsidR="00195018" w:rsidRPr="00384B08" w:rsidRDefault="00195018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195018" w:rsidRPr="00384B08" w:rsidTr="008F52C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5018" w:rsidRPr="005862E3" w:rsidRDefault="00195018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348" w:type="dxa"/>
            <w:vAlign w:val="center"/>
          </w:tcPr>
          <w:p w:rsidR="00195018" w:rsidRPr="00886F85" w:rsidRDefault="00195018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670" w:type="dxa"/>
          </w:tcPr>
          <w:p w:rsidR="00195018" w:rsidRDefault="00195018">
            <w:pPr>
              <w:rPr>
                <w:rFonts w:ascii="Calibri" w:eastAsia="Calibri" w:hAnsi="Calibri" w:cs="Arial"/>
                <w:lang w:val="en-GB" w:bidi="ar-IQ"/>
              </w:rPr>
            </w:pPr>
            <w:r>
              <w:rPr>
                <w:rFonts w:ascii="Calibri" w:eastAsia="Calibri" w:hAnsi="Calibri" w:cs="Arial"/>
                <w:rtl/>
                <w:lang w:bidi="ar-IQ"/>
              </w:rPr>
              <w:t>الحسابات الجارية للشركاء والعمليات ذات الصلة</w:t>
            </w:r>
          </w:p>
        </w:tc>
        <w:tc>
          <w:tcPr>
            <w:tcW w:w="1134" w:type="dxa"/>
            <w:vAlign w:val="center"/>
          </w:tcPr>
          <w:p w:rsidR="00195018" w:rsidRPr="00384B08" w:rsidRDefault="00195018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195018" w:rsidRPr="00384B08" w:rsidTr="008F52C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5018" w:rsidRPr="005862E3" w:rsidRDefault="00195018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348" w:type="dxa"/>
            <w:vAlign w:val="center"/>
          </w:tcPr>
          <w:p w:rsidR="00195018" w:rsidRPr="00886F85" w:rsidRDefault="00195018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670" w:type="dxa"/>
          </w:tcPr>
          <w:p w:rsidR="00195018" w:rsidRDefault="00195018">
            <w:pPr>
              <w:rPr>
                <w:rFonts w:ascii="Calibri" w:eastAsia="Calibri" w:hAnsi="Calibri" w:cs="Arial"/>
                <w:lang w:val="en-GB" w:bidi="ar-IQ"/>
              </w:rPr>
            </w:pPr>
            <w:r>
              <w:rPr>
                <w:rFonts w:ascii="Calibri" w:eastAsia="Calibri" w:hAnsi="Calibri" w:cs="Arial"/>
                <w:rtl/>
                <w:lang w:bidi="ar-IQ"/>
              </w:rPr>
              <w:t>القوائم المالية وتوزيع الأرباح والخسائر بين الشركاء</w:t>
            </w:r>
          </w:p>
        </w:tc>
        <w:tc>
          <w:tcPr>
            <w:tcW w:w="1134" w:type="dxa"/>
            <w:vAlign w:val="center"/>
          </w:tcPr>
          <w:p w:rsidR="00195018" w:rsidRPr="00384B08" w:rsidRDefault="00195018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195018" w:rsidRPr="00384B08" w:rsidTr="008F52C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5018" w:rsidRPr="005862E3" w:rsidRDefault="00195018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348" w:type="dxa"/>
            <w:vAlign w:val="center"/>
          </w:tcPr>
          <w:p w:rsidR="00195018" w:rsidRPr="00886F85" w:rsidRDefault="00195018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670" w:type="dxa"/>
          </w:tcPr>
          <w:p w:rsidR="00195018" w:rsidRDefault="00195018">
            <w:pPr>
              <w:rPr>
                <w:rFonts w:ascii="Calibri" w:eastAsia="Calibri" w:hAnsi="Calibri" w:cs="Arial"/>
                <w:lang w:val="en-GB" w:bidi="ar-IQ"/>
              </w:rPr>
            </w:pPr>
            <w:r>
              <w:rPr>
                <w:rFonts w:ascii="Calibri" w:eastAsia="Calibri" w:hAnsi="Calibri" w:cs="Arial"/>
                <w:rtl/>
                <w:lang w:bidi="ar-IQ"/>
              </w:rPr>
              <w:t xml:space="preserve">زيادة رأس المال في الشركات التضامنية – انضمام شريك بالشراء             </w:t>
            </w:r>
          </w:p>
        </w:tc>
        <w:tc>
          <w:tcPr>
            <w:tcW w:w="1134" w:type="dxa"/>
            <w:vAlign w:val="center"/>
          </w:tcPr>
          <w:p w:rsidR="00195018" w:rsidRPr="00384B08" w:rsidRDefault="00195018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195018" w:rsidRPr="00384B08" w:rsidTr="008F52C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5018" w:rsidRPr="005862E3" w:rsidRDefault="00195018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348" w:type="dxa"/>
            <w:vAlign w:val="center"/>
          </w:tcPr>
          <w:p w:rsidR="00195018" w:rsidRPr="00886F85" w:rsidRDefault="00195018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670" w:type="dxa"/>
          </w:tcPr>
          <w:p w:rsidR="00195018" w:rsidRDefault="00195018">
            <w:pPr>
              <w:rPr>
                <w:rFonts w:ascii="Calibri" w:eastAsia="Calibri" w:hAnsi="Calibri" w:cs="Arial"/>
                <w:lang w:val="en-GB" w:bidi="ar-IQ"/>
              </w:rPr>
            </w:pPr>
            <w:r>
              <w:rPr>
                <w:rFonts w:ascii="Calibri" w:eastAsia="Calibri" w:hAnsi="Calibri" w:cs="Arial"/>
                <w:rtl/>
                <w:lang w:bidi="ar-IQ"/>
              </w:rPr>
              <w:t>زيادة رأس المال في الشركات التضامنية – انضمام شريك بالاستثمار</w:t>
            </w:r>
          </w:p>
        </w:tc>
        <w:tc>
          <w:tcPr>
            <w:tcW w:w="1134" w:type="dxa"/>
            <w:vAlign w:val="center"/>
          </w:tcPr>
          <w:p w:rsidR="00195018" w:rsidRPr="00384B08" w:rsidRDefault="00195018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195018" w:rsidRPr="00384B08" w:rsidTr="008F52C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5018" w:rsidRPr="005862E3" w:rsidRDefault="00195018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8" w:type="dxa"/>
            <w:vAlign w:val="center"/>
          </w:tcPr>
          <w:p w:rsidR="00195018" w:rsidRPr="00886F85" w:rsidRDefault="00195018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670" w:type="dxa"/>
          </w:tcPr>
          <w:p w:rsidR="00195018" w:rsidRDefault="00195018">
            <w:pPr>
              <w:rPr>
                <w:rFonts w:ascii="Calibri" w:eastAsia="Calibri" w:hAnsi="Calibri" w:cs="Arial"/>
                <w:lang w:val="en-GB" w:bidi="ar-IQ"/>
              </w:rPr>
            </w:pPr>
            <w:r>
              <w:rPr>
                <w:rFonts w:ascii="Calibri" w:eastAsia="Calibri" w:hAnsi="Calibri" w:cs="Arial"/>
                <w:rtl/>
                <w:lang w:bidi="ar-IQ"/>
              </w:rPr>
              <w:t xml:space="preserve">تخفيض رأس المال في الشركات التضامنية – انسحاب شريك  </w:t>
            </w:r>
          </w:p>
        </w:tc>
        <w:tc>
          <w:tcPr>
            <w:tcW w:w="1134" w:type="dxa"/>
            <w:vAlign w:val="center"/>
          </w:tcPr>
          <w:p w:rsidR="00195018" w:rsidRPr="00384B08" w:rsidRDefault="00195018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195018" w:rsidRPr="00384B08" w:rsidTr="008F52C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195018" w:rsidRDefault="00195018" w:rsidP="0058439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348" w:type="dxa"/>
            <w:vAlign w:val="center"/>
          </w:tcPr>
          <w:p w:rsidR="00195018" w:rsidRDefault="00195018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الثامن</w:t>
            </w:r>
          </w:p>
        </w:tc>
        <w:tc>
          <w:tcPr>
            <w:tcW w:w="5670" w:type="dxa"/>
          </w:tcPr>
          <w:p w:rsidR="00195018" w:rsidRDefault="00FA295A" w:rsidP="00FA295A">
            <w:pPr>
              <w:rPr>
                <w:rFonts w:ascii="Calibri" w:eastAsia="Calibri" w:hAnsi="Calibri" w:cs="Arial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rtl/>
                <w:lang w:bidi="ar-IQ"/>
              </w:rPr>
              <w:t xml:space="preserve">تصفية الشركات التضامنية </w:t>
            </w:r>
          </w:p>
        </w:tc>
        <w:tc>
          <w:tcPr>
            <w:tcW w:w="1134" w:type="dxa"/>
            <w:vAlign w:val="center"/>
          </w:tcPr>
          <w:p w:rsidR="00195018" w:rsidRPr="00384B08" w:rsidRDefault="00195018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FA295A" w:rsidRPr="00384B08" w:rsidTr="008F52C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A295A" w:rsidRDefault="00FA295A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348" w:type="dxa"/>
            <w:vAlign w:val="center"/>
          </w:tcPr>
          <w:p w:rsidR="00FA295A" w:rsidRDefault="00FA295A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التاسع</w:t>
            </w:r>
          </w:p>
        </w:tc>
        <w:tc>
          <w:tcPr>
            <w:tcW w:w="5670" w:type="dxa"/>
          </w:tcPr>
          <w:p w:rsidR="00FA295A" w:rsidRDefault="00FA295A" w:rsidP="00847F75">
            <w:pPr>
              <w:rPr>
                <w:rFonts w:ascii="Calibri" w:eastAsia="Calibri" w:hAnsi="Calibri" w:cs="Arial"/>
                <w:rtl/>
                <w:lang w:bidi="ar-IQ"/>
              </w:rPr>
            </w:pPr>
            <w:r>
              <w:rPr>
                <w:rFonts w:ascii="Calibri" w:eastAsia="Calibri" w:hAnsi="Calibri" w:cs="Arial"/>
                <w:rtl/>
                <w:lang w:bidi="ar-IQ"/>
              </w:rPr>
              <w:t>المعالجات المحاسبية لتكوين رأس مال الشركات المساهمة</w:t>
            </w:r>
          </w:p>
        </w:tc>
        <w:tc>
          <w:tcPr>
            <w:tcW w:w="1134" w:type="dxa"/>
            <w:vAlign w:val="center"/>
          </w:tcPr>
          <w:p w:rsidR="00FA295A" w:rsidRPr="00384B08" w:rsidRDefault="00FA295A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FA295A" w:rsidRPr="00384B08" w:rsidTr="008F52C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A295A" w:rsidRDefault="00FA295A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348" w:type="dxa"/>
            <w:vAlign w:val="center"/>
          </w:tcPr>
          <w:p w:rsidR="00FA295A" w:rsidRDefault="00FA295A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العاشر</w:t>
            </w:r>
          </w:p>
        </w:tc>
        <w:tc>
          <w:tcPr>
            <w:tcW w:w="5670" w:type="dxa"/>
          </w:tcPr>
          <w:p w:rsidR="00FA295A" w:rsidRDefault="00FA295A" w:rsidP="00847F75">
            <w:pPr>
              <w:rPr>
                <w:rFonts w:ascii="Calibri" w:eastAsia="Calibri" w:hAnsi="Calibri" w:cs="Arial"/>
                <w:rtl/>
                <w:lang w:bidi="ar-IQ"/>
              </w:rPr>
            </w:pPr>
            <w:r>
              <w:rPr>
                <w:rFonts w:ascii="Calibri" w:eastAsia="Calibri" w:hAnsi="Calibri" w:cs="Arial"/>
                <w:rtl/>
                <w:lang w:bidi="ar-IQ"/>
              </w:rPr>
              <w:t>استلام الاقساط غير المقبوضة من المساهمين ومعالجة العجز عن السداد</w:t>
            </w:r>
          </w:p>
        </w:tc>
        <w:tc>
          <w:tcPr>
            <w:tcW w:w="1134" w:type="dxa"/>
            <w:vAlign w:val="center"/>
          </w:tcPr>
          <w:p w:rsidR="00FA295A" w:rsidRPr="00384B08" w:rsidRDefault="00FA295A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FA295A" w:rsidRPr="00384B08" w:rsidTr="008F52C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A295A" w:rsidRDefault="00FA295A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348" w:type="dxa"/>
            <w:vAlign w:val="center"/>
          </w:tcPr>
          <w:p w:rsidR="00FA295A" w:rsidRDefault="00FA295A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الحادي عشر</w:t>
            </w:r>
          </w:p>
        </w:tc>
        <w:tc>
          <w:tcPr>
            <w:tcW w:w="5670" w:type="dxa"/>
          </w:tcPr>
          <w:p w:rsidR="00FA295A" w:rsidRDefault="00FA295A" w:rsidP="00847F75">
            <w:pPr>
              <w:rPr>
                <w:rFonts w:ascii="Calibri" w:eastAsia="Calibri" w:hAnsi="Calibri" w:cs="Arial"/>
                <w:rtl/>
                <w:lang w:bidi="ar-IQ"/>
              </w:rPr>
            </w:pPr>
            <w:r>
              <w:rPr>
                <w:rFonts w:ascii="Calibri" w:eastAsia="Calibri" w:hAnsi="Calibri" w:cs="Arial"/>
                <w:rtl/>
                <w:lang w:bidi="ar-IQ"/>
              </w:rPr>
              <w:t>القوائم المالية وتوزيع الأرباح على المساهمين</w:t>
            </w:r>
          </w:p>
        </w:tc>
        <w:tc>
          <w:tcPr>
            <w:tcW w:w="1134" w:type="dxa"/>
            <w:vAlign w:val="center"/>
          </w:tcPr>
          <w:p w:rsidR="00FA295A" w:rsidRPr="00384B08" w:rsidRDefault="00FA295A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FA295A" w:rsidRPr="00384B08" w:rsidTr="008F52C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A295A" w:rsidRDefault="00FA295A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348" w:type="dxa"/>
            <w:vAlign w:val="center"/>
          </w:tcPr>
          <w:p w:rsidR="00FA295A" w:rsidRDefault="00FA295A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 عشر</w:t>
            </w:r>
          </w:p>
        </w:tc>
        <w:tc>
          <w:tcPr>
            <w:tcW w:w="5670" w:type="dxa"/>
          </w:tcPr>
          <w:p w:rsidR="00FA295A" w:rsidRDefault="00FA295A" w:rsidP="00847F75">
            <w:pPr>
              <w:rPr>
                <w:rFonts w:ascii="Calibri" w:eastAsia="Calibri" w:hAnsi="Calibri" w:cs="Arial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rtl/>
                <w:lang w:bidi="ar-IQ"/>
              </w:rPr>
              <w:t>تصفية الشركات المساهمة</w:t>
            </w:r>
          </w:p>
        </w:tc>
        <w:tc>
          <w:tcPr>
            <w:tcW w:w="1134" w:type="dxa"/>
            <w:vAlign w:val="center"/>
          </w:tcPr>
          <w:p w:rsidR="00FA295A" w:rsidRPr="00384B08" w:rsidRDefault="00FA295A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FA295A" w:rsidRPr="00384B08" w:rsidTr="008F52C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A295A" w:rsidRDefault="00FA295A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348" w:type="dxa"/>
            <w:vAlign w:val="center"/>
          </w:tcPr>
          <w:p w:rsidR="00FA295A" w:rsidRDefault="00FA295A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 عشر</w:t>
            </w:r>
          </w:p>
        </w:tc>
        <w:tc>
          <w:tcPr>
            <w:tcW w:w="5670" w:type="dxa"/>
          </w:tcPr>
          <w:p w:rsidR="00FA295A" w:rsidRDefault="00FA295A" w:rsidP="00847F75">
            <w:pPr>
              <w:rPr>
                <w:rFonts w:ascii="Calibri" w:eastAsia="Calibri" w:hAnsi="Calibri" w:cs="Arial"/>
                <w:rtl/>
                <w:lang w:bidi="ar-IQ"/>
              </w:rPr>
            </w:pPr>
            <w:r>
              <w:rPr>
                <w:rFonts w:ascii="Calibri" w:eastAsia="Calibri" w:hAnsi="Calibri" w:cs="Arial"/>
                <w:rtl/>
                <w:lang w:bidi="ar-IQ"/>
              </w:rPr>
              <w:t>المحاسبة عن إصدار السندات من قبل الشركات المساهمة</w:t>
            </w:r>
          </w:p>
        </w:tc>
        <w:tc>
          <w:tcPr>
            <w:tcW w:w="1134" w:type="dxa"/>
            <w:vAlign w:val="center"/>
          </w:tcPr>
          <w:p w:rsidR="00FA295A" w:rsidRPr="00384B08" w:rsidRDefault="00FA295A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FA295A" w:rsidRPr="00384B08" w:rsidTr="008F52C9">
        <w:trPr>
          <w:trHeight w:hRule="exact" w:val="948"/>
        </w:trPr>
        <w:tc>
          <w:tcPr>
            <w:tcW w:w="682" w:type="dxa"/>
            <w:shd w:val="clear" w:color="auto" w:fill="EEECE1" w:themeFill="background2"/>
            <w:vAlign w:val="center"/>
          </w:tcPr>
          <w:p w:rsidR="00FA295A" w:rsidRPr="005862E3" w:rsidRDefault="00FA295A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48" w:type="dxa"/>
            <w:vAlign w:val="center"/>
          </w:tcPr>
          <w:p w:rsidR="00FA295A" w:rsidRPr="00863D45" w:rsidRDefault="00FA295A" w:rsidP="00C86FEE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econd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الكورس</w:t>
            </w:r>
            <w:r w:rsidRPr="00863D45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5670" w:type="dxa"/>
          </w:tcPr>
          <w:p w:rsidR="00FA295A" w:rsidRDefault="00FA295A">
            <w:pPr>
              <w:rPr>
                <w:rFonts w:ascii="Calibri" w:eastAsia="Calibri" w:hAnsi="Calibri" w:cs="Arial"/>
                <w:rtl/>
                <w:lang w:val="en-GB" w:bidi="ar-IQ"/>
              </w:rPr>
            </w:pPr>
          </w:p>
          <w:p w:rsidR="00FA295A" w:rsidRPr="00FA295A" w:rsidRDefault="00FA295A" w:rsidP="00FA295A">
            <w:pPr>
              <w:jc w:val="center"/>
              <w:rPr>
                <w:rFonts w:ascii="Calibri" w:eastAsia="Calibri" w:hAnsi="Calibri" w:cs="Arial"/>
                <w:b/>
                <w:bCs/>
                <w:lang w:val="en-GB" w:bidi="ar-IQ"/>
              </w:rPr>
            </w:pPr>
            <w:r w:rsidRPr="00FA295A">
              <w:rPr>
                <w:rFonts w:ascii="Calibri" w:eastAsia="Calibri" w:hAnsi="Calibri" w:cs="Arial" w:hint="cs"/>
                <w:b/>
                <w:bCs/>
                <w:rtl/>
                <w:lang w:val="en-GB" w:bidi="ar-IQ"/>
              </w:rPr>
              <w:t>محاسبة مالية متقدمة</w:t>
            </w:r>
          </w:p>
        </w:tc>
        <w:tc>
          <w:tcPr>
            <w:tcW w:w="1134" w:type="dxa"/>
            <w:vAlign w:val="center"/>
          </w:tcPr>
          <w:p w:rsidR="00FA295A" w:rsidRPr="00384B08" w:rsidRDefault="00FA295A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F52C9" w:rsidRPr="00384B08" w:rsidTr="008F52C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52C9" w:rsidRPr="005862E3" w:rsidRDefault="008F52C9" w:rsidP="00C86F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348" w:type="dxa"/>
            <w:vAlign w:val="center"/>
          </w:tcPr>
          <w:p w:rsidR="008F52C9" w:rsidRPr="00886F85" w:rsidRDefault="008F52C9" w:rsidP="00546B9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670" w:type="dxa"/>
          </w:tcPr>
          <w:p w:rsidR="008F52C9" w:rsidRPr="004939D8" w:rsidRDefault="008F52C9" w:rsidP="00847F75">
            <w:pPr>
              <w:rPr>
                <w:rFonts w:ascii="Calibri" w:eastAsia="Calibri" w:hAnsi="Calibri" w:cs="Arial"/>
                <w:lang w:bidi="ar-IQ"/>
              </w:rPr>
            </w:pPr>
            <w:r w:rsidRPr="004939D8">
              <w:rPr>
                <w:rFonts w:ascii="Calibri" w:eastAsia="Calibri" w:hAnsi="Calibri" w:cs="Arial"/>
                <w:rtl/>
                <w:lang w:bidi="ar-IQ"/>
              </w:rPr>
              <w:t xml:space="preserve">مفهوم اندماج الشركات – أسبابه وانواعه </w:t>
            </w:r>
          </w:p>
        </w:tc>
        <w:tc>
          <w:tcPr>
            <w:tcW w:w="1134" w:type="dxa"/>
            <w:vAlign w:val="center"/>
          </w:tcPr>
          <w:p w:rsidR="008F52C9" w:rsidRPr="00384B08" w:rsidRDefault="008F52C9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F52C9" w:rsidRPr="00384B08" w:rsidTr="008F52C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52C9" w:rsidRPr="005862E3" w:rsidRDefault="008F52C9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8" w:type="dxa"/>
            <w:vAlign w:val="center"/>
          </w:tcPr>
          <w:p w:rsidR="008F52C9" w:rsidRPr="00886F85" w:rsidRDefault="008F52C9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670" w:type="dxa"/>
          </w:tcPr>
          <w:p w:rsidR="008F52C9" w:rsidRPr="004939D8" w:rsidRDefault="008F52C9" w:rsidP="00847F75">
            <w:pPr>
              <w:rPr>
                <w:rFonts w:ascii="Calibri" w:eastAsia="Calibri" w:hAnsi="Calibri" w:cs="Arial"/>
                <w:lang w:bidi="ar-IQ"/>
              </w:rPr>
            </w:pPr>
            <w:r w:rsidRPr="004939D8">
              <w:rPr>
                <w:rFonts w:ascii="Calibri" w:eastAsia="Calibri" w:hAnsi="Calibri" w:cs="Arial"/>
                <w:rtl/>
                <w:lang w:bidi="ar-IQ"/>
              </w:rPr>
              <w:t xml:space="preserve">المعالجة المحاسبية للاندماج – اكتساب الاصول </w:t>
            </w:r>
          </w:p>
        </w:tc>
        <w:tc>
          <w:tcPr>
            <w:tcW w:w="1134" w:type="dxa"/>
            <w:vAlign w:val="center"/>
          </w:tcPr>
          <w:p w:rsidR="008F52C9" w:rsidRPr="00384B08" w:rsidRDefault="008F52C9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F52C9" w:rsidRPr="00384B08" w:rsidTr="008F52C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52C9" w:rsidRPr="005862E3" w:rsidRDefault="008F52C9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8" w:type="dxa"/>
            <w:vAlign w:val="center"/>
          </w:tcPr>
          <w:p w:rsidR="008F52C9" w:rsidRPr="00886F85" w:rsidRDefault="008F52C9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670" w:type="dxa"/>
          </w:tcPr>
          <w:p w:rsidR="008F52C9" w:rsidRPr="004939D8" w:rsidRDefault="008F52C9" w:rsidP="00847F75">
            <w:pPr>
              <w:rPr>
                <w:rFonts w:ascii="Calibri" w:eastAsia="Calibri" w:hAnsi="Calibri" w:cs="Arial"/>
                <w:lang w:bidi="ar-IQ"/>
              </w:rPr>
            </w:pPr>
            <w:r w:rsidRPr="004939D8">
              <w:rPr>
                <w:rFonts w:ascii="Calibri" w:eastAsia="Calibri" w:hAnsi="Calibri" w:cs="Arial"/>
                <w:rtl/>
                <w:lang w:bidi="ar-IQ"/>
              </w:rPr>
              <w:t xml:space="preserve">المعالجة المحاسبية للاندماج – اكتساب الاسهم </w:t>
            </w:r>
            <w:r>
              <w:rPr>
                <w:rFonts w:ascii="Calibri" w:eastAsia="Calibri" w:hAnsi="Calibri" w:cs="Arial"/>
                <w:rtl/>
                <w:lang w:bidi="ar-IQ"/>
              </w:rPr>
              <w:t>–</w:t>
            </w:r>
            <w:r w:rsidRPr="004939D8">
              <w:rPr>
                <w:rFonts w:ascii="Calibri" w:eastAsia="Calibri" w:hAnsi="Calibri" w:cs="Arial"/>
                <w:rtl/>
                <w:lang w:bidi="ar-IQ"/>
              </w:rPr>
              <w:t xml:space="preserve"> الجزء</w:t>
            </w:r>
            <w:r>
              <w:rPr>
                <w:rFonts w:ascii="Calibri" w:eastAsia="Calibri" w:hAnsi="Calibri" w:cs="Arial"/>
                <w:lang w:bidi="ar-IQ"/>
              </w:rPr>
              <w:t xml:space="preserve">1 </w:t>
            </w:r>
            <w:r w:rsidRPr="004939D8">
              <w:rPr>
                <w:rFonts w:ascii="Calibri" w:eastAsia="Calibri" w:hAnsi="Calibri" w:cs="Arial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F52C9" w:rsidRPr="00384B08" w:rsidRDefault="008F52C9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F52C9" w:rsidRPr="00384B08" w:rsidTr="008F52C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52C9" w:rsidRPr="005862E3" w:rsidRDefault="008F52C9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8" w:type="dxa"/>
            <w:vAlign w:val="center"/>
          </w:tcPr>
          <w:p w:rsidR="008F52C9" w:rsidRPr="00886F85" w:rsidRDefault="008F52C9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670" w:type="dxa"/>
          </w:tcPr>
          <w:p w:rsidR="008F52C9" w:rsidRPr="004939D8" w:rsidRDefault="008F52C9" w:rsidP="00847F75">
            <w:pPr>
              <w:rPr>
                <w:rFonts w:ascii="Calibri" w:eastAsia="Calibri" w:hAnsi="Calibri" w:cs="Arial"/>
                <w:rtl/>
                <w:lang w:bidi="ar-IQ"/>
              </w:rPr>
            </w:pPr>
            <w:r w:rsidRPr="004939D8">
              <w:rPr>
                <w:rFonts w:ascii="Calibri" w:eastAsia="Calibri" w:hAnsi="Calibri" w:cs="Arial"/>
                <w:rtl/>
                <w:lang w:bidi="ar-IQ"/>
              </w:rPr>
              <w:t xml:space="preserve">المعالجة المحاسبية للاندماج – اكتساب الاسهم - الجزء </w:t>
            </w:r>
            <w:r>
              <w:rPr>
                <w:rFonts w:ascii="Calibri" w:eastAsia="Calibri" w:hAnsi="Calibri" w:cs="Arial"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8F52C9" w:rsidRPr="00384B08" w:rsidRDefault="008F52C9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F52C9" w:rsidRPr="00384B08" w:rsidTr="008F52C9">
        <w:trPr>
          <w:trHeight w:hRule="exact" w:val="485"/>
        </w:trPr>
        <w:tc>
          <w:tcPr>
            <w:tcW w:w="682" w:type="dxa"/>
            <w:shd w:val="clear" w:color="auto" w:fill="EEECE1" w:themeFill="background2"/>
            <w:vAlign w:val="center"/>
          </w:tcPr>
          <w:p w:rsidR="008F52C9" w:rsidRPr="005862E3" w:rsidRDefault="008F52C9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8" w:type="dxa"/>
            <w:vAlign w:val="center"/>
          </w:tcPr>
          <w:p w:rsidR="008F52C9" w:rsidRPr="00886F85" w:rsidRDefault="008F52C9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670" w:type="dxa"/>
          </w:tcPr>
          <w:p w:rsidR="008F52C9" w:rsidRPr="004939D8" w:rsidRDefault="008F52C9" w:rsidP="00847F75">
            <w:pPr>
              <w:rPr>
                <w:rFonts w:ascii="Calibri" w:eastAsia="Calibri" w:hAnsi="Calibri" w:cs="Arial"/>
                <w:lang w:bidi="ar-IQ"/>
              </w:rPr>
            </w:pPr>
            <w:r w:rsidRPr="004939D8">
              <w:rPr>
                <w:rFonts w:ascii="Calibri" w:eastAsia="Calibri" w:hAnsi="Calibri" w:cs="Arial"/>
                <w:rtl/>
                <w:lang w:bidi="ar-IQ"/>
              </w:rPr>
              <w:t xml:space="preserve">المحاسبة عن الإستثمارات في الأسهم بعد تاريخ الإكتساب </w:t>
            </w:r>
          </w:p>
        </w:tc>
        <w:tc>
          <w:tcPr>
            <w:tcW w:w="1134" w:type="dxa"/>
            <w:vAlign w:val="center"/>
          </w:tcPr>
          <w:p w:rsidR="008F52C9" w:rsidRPr="00384B08" w:rsidRDefault="008F52C9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F52C9" w:rsidRPr="00384B08" w:rsidTr="008F52C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52C9" w:rsidRPr="005862E3" w:rsidRDefault="008F52C9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8" w:type="dxa"/>
            <w:vAlign w:val="center"/>
          </w:tcPr>
          <w:p w:rsidR="008F52C9" w:rsidRPr="00886F85" w:rsidRDefault="008F52C9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670" w:type="dxa"/>
          </w:tcPr>
          <w:p w:rsidR="008F52C9" w:rsidRPr="004939D8" w:rsidRDefault="008F52C9" w:rsidP="00847F75">
            <w:pPr>
              <w:rPr>
                <w:rFonts w:ascii="Calibri" w:eastAsia="Calibri" w:hAnsi="Calibri" w:cs="Arial"/>
                <w:lang w:bidi="ar-IQ"/>
              </w:rPr>
            </w:pPr>
            <w:r w:rsidRPr="004939D8">
              <w:rPr>
                <w:rFonts w:ascii="Calibri" w:eastAsia="Calibri" w:hAnsi="Calibri" w:cs="Arial"/>
                <w:rtl/>
                <w:lang w:bidi="ar-IQ"/>
              </w:rPr>
              <w:t>مفهوم الإبلاغ القطاعي وأهميتة</w:t>
            </w:r>
          </w:p>
        </w:tc>
        <w:tc>
          <w:tcPr>
            <w:tcW w:w="1134" w:type="dxa"/>
            <w:vAlign w:val="center"/>
          </w:tcPr>
          <w:p w:rsidR="008F52C9" w:rsidRPr="00384B08" w:rsidRDefault="008F52C9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F52C9" w:rsidRPr="00384B08" w:rsidTr="0082684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52C9" w:rsidRPr="005862E3" w:rsidRDefault="008F52C9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8" w:type="dxa"/>
            <w:vAlign w:val="center"/>
          </w:tcPr>
          <w:p w:rsidR="008F52C9" w:rsidRPr="004859F1" w:rsidRDefault="008F52C9" w:rsidP="00BF5A5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670" w:type="dxa"/>
          </w:tcPr>
          <w:p w:rsidR="008F52C9" w:rsidRPr="004939D8" w:rsidRDefault="008F52C9" w:rsidP="00847F75">
            <w:pPr>
              <w:rPr>
                <w:rFonts w:ascii="Calibri" w:eastAsia="Calibri" w:hAnsi="Calibri" w:cs="Arial"/>
                <w:lang w:bidi="ar-IQ"/>
              </w:rPr>
            </w:pPr>
            <w:r w:rsidRPr="004939D8">
              <w:rPr>
                <w:rFonts w:ascii="Calibri" w:eastAsia="Calibri" w:hAnsi="Calibri" w:cs="Arial"/>
                <w:rtl/>
                <w:lang w:bidi="ar-IQ"/>
              </w:rPr>
              <w:t xml:space="preserve">معايير تحديد القطاعات التشغيلية والمشاكل ذات الصلة </w:t>
            </w:r>
          </w:p>
        </w:tc>
        <w:tc>
          <w:tcPr>
            <w:tcW w:w="1134" w:type="dxa"/>
            <w:vAlign w:val="center"/>
          </w:tcPr>
          <w:p w:rsidR="008F52C9" w:rsidRPr="00384B08" w:rsidRDefault="008F52C9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F52C9" w:rsidRPr="00384B08" w:rsidTr="0082684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52C9" w:rsidRDefault="008F52C9" w:rsidP="0058439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348" w:type="dxa"/>
            <w:vAlign w:val="center"/>
          </w:tcPr>
          <w:p w:rsidR="008F52C9" w:rsidRDefault="008F52C9" w:rsidP="00BF5A5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الثامن</w:t>
            </w:r>
          </w:p>
        </w:tc>
        <w:tc>
          <w:tcPr>
            <w:tcW w:w="5670" w:type="dxa"/>
          </w:tcPr>
          <w:p w:rsidR="008F52C9" w:rsidRPr="004939D8" w:rsidRDefault="008F52C9" w:rsidP="00847F75">
            <w:pPr>
              <w:rPr>
                <w:rFonts w:ascii="Calibri" w:eastAsia="Calibri" w:hAnsi="Calibri" w:cs="Arial"/>
                <w:lang w:bidi="ar-IQ"/>
              </w:rPr>
            </w:pPr>
            <w:r>
              <w:rPr>
                <w:rFonts w:ascii="Calibri" w:eastAsia="Calibri" w:hAnsi="Calibri" w:cs="Arial" w:hint="cs"/>
                <w:rtl/>
                <w:lang w:bidi="ar-IQ"/>
              </w:rPr>
              <w:t xml:space="preserve">القوائم المالية للشركة والقطاعات التابعة لها </w:t>
            </w:r>
            <w:r>
              <w:rPr>
                <w:rFonts w:ascii="Calibri" w:eastAsia="Calibri" w:hAnsi="Calibri" w:cs="Arial"/>
                <w:rtl/>
                <w:lang w:bidi="ar-IQ"/>
              </w:rPr>
              <w:t>–</w:t>
            </w:r>
            <w:r>
              <w:rPr>
                <w:rFonts w:ascii="Calibri" w:eastAsia="Calibri" w:hAnsi="Calibri" w:cs="Arial" w:hint="cs"/>
                <w:rtl/>
                <w:lang w:bidi="ar-IQ"/>
              </w:rPr>
              <w:t xml:space="preserve"> مشكلة التحويلات بين القطاعات</w:t>
            </w:r>
          </w:p>
        </w:tc>
        <w:tc>
          <w:tcPr>
            <w:tcW w:w="1134" w:type="dxa"/>
            <w:vAlign w:val="center"/>
          </w:tcPr>
          <w:p w:rsidR="008F52C9" w:rsidRPr="00384B08" w:rsidRDefault="008F52C9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F52C9" w:rsidRPr="00384B08" w:rsidTr="0082684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52C9" w:rsidRDefault="008F52C9" w:rsidP="0058439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348" w:type="dxa"/>
            <w:vAlign w:val="center"/>
          </w:tcPr>
          <w:p w:rsidR="008F52C9" w:rsidRDefault="008F52C9" w:rsidP="00BF5A5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التاسع</w:t>
            </w:r>
          </w:p>
        </w:tc>
        <w:tc>
          <w:tcPr>
            <w:tcW w:w="5670" w:type="dxa"/>
          </w:tcPr>
          <w:p w:rsidR="008F52C9" w:rsidRPr="004939D8" w:rsidRDefault="008F52C9" w:rsidP="00847F75">
            <w:pPr>
              <w:rPr>
                <w:rFonts w:ascii="Calibri" w:eastAsia="Calibri" w:hAnsi="Calibri" w:cs="Arial"/>
                <w:lang w:bidi="ar-IQ"/>
              </w:rPr>
            </w:pPr>
            <w:r w:rsidRPr="004939D8">
              <w:rPr>
                <w:rFonts w:ascii="Calibri" w:eastAsia="Calibri" w:hAnsi="Calibri" w:cs="Arial"/>
                <w:rtl/>
                <w:lang w:bidi="ar-IQ"/>
              </w:rPr>
              <w:t>مفهوم الإبلاغ المرحلي وأهميته</w:t>
            </w:r>
          </w:p>
        </w:tc>
        <w:tc>
          <w:tcPr>
            <w:tcW w:w="1134" w:type="dxa"/>
            <w:vAlign w:val="center"/>
          </w:tcPr>
          <w:p w:rsidR="008F52C9" w:rsidRPr="00384B08" w:rsidRDefault="008F52C9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F52C9" w:rsidRPr="00384B08" w:rsidTr="005470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52C9" w:rsidRDefault="008F52C9" w:rsidP="0058439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348" w:type="dxa"/>
            <w:vAlign w:val="center"/>
          </w:tcPr>
          <w:p w:rsidR="008F52C9" w:rsidRDefault="008F52C9" w:rsidP="00BF5A5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العاشر</w:t>
            </w:r>
          </w:p>
        </w:tc>
        <w:tc>
          <w:tcPr>
            <w:tcW w:w="5670" w:type="dxa"/>
          </w:tcPr>
          <w:p w:rsidR="008F52C9" w:rsidRPr="004939D8" w:rsidRDefault="008F52C9" w:rsidP="00847F75">
            <w:pPr>
              <w:rPr>
                <w:rFonts w:ascii="Calibri" w:eastAsia="Calibri" w:hAnsi="Calibri" w:cs="Arial"/>
                <w:lang w:bidi="ar-IQ"/>
              </w:rPr>
            </w:pPr>
            <w:r w:rsidRPr="004939D8">
              <w:rPr>
                <w:rFonts w:ascii="Calibri" w:eastAsia="Calibri" w:hAnsi="Calibri" w:cs="Arial"/>
                <w:rtl/>
                <w:lang w:bidi="ar-IQ"/>
              </w:rPr>
              <w:t>مداخل إعداد القوائم المالية المرحلية والمشاكل ذات الصلة</w:t>
            </w:r>
          </w:p>
        </w:tc>
        <w:tc>
          <w:tcPr>
            <w:tcW w:w="1134" w:type="dxa"/>
            <w:vAlign w:val="center"/>
          </w:tcPr>
          <w:p w:rsidR="008F52C9" w:rsidRPr="00384B08" w:rsidRDefault="008F52C9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F52C9" w:rsidRPr="00384B08" w:rsidTr="005470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52C9" w:rsidRDefault="008F52C9" w:rsidP="0058439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348" w:type="dxa"/>
            <w:vAlign w:val="center"/>
          </w:tcPr>
          <w:p w:rsidR="008F52C9" w:rsidRDefault="008F52C9" w:rsidP="00BF5A5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الحادي عشر</w:t>
            </w:r>
          </w:p>
        </w:tc>
        <w:tc>
          <w:tcPr>
            <w:tcW w:w="5670" w:type="dxa"/>
          </w:tcPr>
          <w:p w:rsidR="008F52C9" w:rsidRPr="004939D8" w:rsidRDefault="008F52C9" w:rsidP="00847F75">
            <w:pPr>
              <w:rPr>
                <w:rFonts w:ascii="Calibri" w:eastAsia="Calibri" w:hAnsi="Calibri" w:cs="Arial"/>
                <w:lang w:bidi="ar-IQ"/>
              </w:rPr>
            </w:pPr>
            <w:r w:rsidRPr="004939D8">
              <w:rPr>
                <w:rFonts w:ascii="Calibri" w:eastAsia="Calibri" w:hAnsi="Calibri" w:cs="Arial"/>
                <w:rtl/>
                <w:lang w:bidi="ar-IQ"/>
              </w:rPr>
              <w:t>طبيعة الشركات ذات الفروع وأهدافها</w:t>
            </w:r>
          </w:p>
        </w:tc>
        <w:tc>
          <w:tcPr>
            <w:tcW w:w="1134" w:type="dxa"/>
            <w:vAlign w:val="center"/>
          </w:tcPr>
          <w:p w:rsidR="008F52C9" w:rsidRPr="00384B08" w:rsidRDefault="008F52C9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F52C9" w:rsidRPr="00384B08" w:rsidTr="0054701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52C9" w:rsidRDefault="008F52C9" w:rsidP="0058439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348" w:type="dxa"/>
            <w:vAlign w:val="center"/>
          </w:tcPr>
          <w:p w:rsidR="008F52C9" w:rsidRDefault="008F52C9" w:rsidP="00BF5A5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 عشر</w:t>
            </w:r>
          </w:p>
        </w:tc>
        <w:tc>
          <w:tcPr>
            <w:tcW w:w="5670" w:type="dxa"/>
          </w:tcPr>
          <w:p w:rsidR="008F52C9" w:rsidRPr="004939D8" w:rsidRDefault="008F52C9" w:rsidP="00847F75">
            <w:pPr>
              <w:rPr>
                <w:rFonts w:ascii="Calibri" w:eastAsia="Calibri" w:hAnsi="Calibri" w:cs="Arial"/>
                <w:lang w:bidi="ar-IQ"/>
              </w:rPr>
            </w:pPr>
            <w:r w:rsidRPr="004939D8">
              <w:rPr>
                <w:rFonts w:ascii="Calibri" w:eastAsia="Calibri" w:hAnsi="Calibri" w:cs="Arial"/>
                <w:rtl/>
                <w:lang w:bidi="ar-IQ"/>
              </w:rPr>
              <w:t xml:space="preserve">المحاسبة عن أعمال الفروع </w:t>
            </w:r>
            <w:r>
              <w:rPr>
                <w:rFonts w:ascii="Calibri" w:eastAsia="Calibri" w:hAnsi="Calibri" w:cs="Arial" w:hint="cs"/>
                <w:rtl/>
                <w:lang w:bidi="ar-IQ"/>
              </w:rPr>
              <w:t xml:space="preserve">( المستقلة ) </w:t>
            </w:r>
            <w:r w:rsidRPr="004939D8">
              <w:rPr>
                <w:rFonts w:ascii="Calibri" w:eastAsia="Calibri" w:hAnsi="Calibri" w:cs="Arial"/>
                <w:rtl/>
                <w:lang w:bidi="ar-IQ"/>
              </w:rPr>
              <w:t>وفقاً للطريقة اللامركزية</w:t>
            </w:r>
          </w:p>
        </w:tc>
        <w:tc>
          <w:tcPr>
            <w:tcW w:w="1134" w:type="dxa"/>
            <w:vAlign w:val="center"/>
          </w:tcPr>
          <w:p w:rsidR="008F52C9" w:rsidRPr="00384B08" w:rsidRDefault="008F52C9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F52C9" w:rsidRPr="00384B08" w:rsidTr="007E76F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F52C9" w:rsidRDefault="008F52C9" w:rsidP="0058439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348" w:type="dxa"/>
            <w:vAlign w:val="center"/>
          </w:tcPr>
          <w:p w:rsidR="008F52C9" w:rsidRDefault="008F52C9" w:rsidP="00BF5A5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 عشر</w:t>
            </w:r>
          </w:p>
        </w:tc>
        <w:tc>
          <w:tcPr>
            <w:tcW w:w="5670" w:type="dxa"/>
          </w:tcPr>
          <w:p w:rsidR="008F52C9" w:rsidRPr="004939D8" w:rsidRDefault="008F52C9" w:rsidP="00847F75">
            <w:pPr>
              <w:rPr>
                <w:rFonts w:ascii="Calibri" w:eastAsia="Calibri" w:hAnsi="Calibri" w:cs="Arial"/>
                <w:lang w:bidi="ar-IQ"/>
              </w:rPr>
            </w:pPr>
            <w:r w:rsidRPr="004939D8">
              <w:rPr>
                <w:rFonts w:ascii="Calibri" w:eastAsia="Calibri" w:hAnsi="Calibri" w:cs="Arial"/>
                <w:rtl/>
                <w:lang w:bidi="ar-IQ"/>
              </w:rPr>
              <w:t xml:space="preserve">مطابقة الحسابات المتقابلة واعداد القوائم المالية للمركز الرئيس وفروعه </w:t>
            </w:r>
          </w:p>
        </w:tc>
        <w:tc>
          <w:tcPr>
            <w:tcW w:w="1134" w:type="dxa"/>
            <w:vAlign w:val="center"/>
          </w:tcPr>
          <w:p w:rsidR="008F52C9" w:rsidRPr="00384B08" w:rsidRDefault="008F52C9" w:rsidP="0058439D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Default="00EA30C6" w:rsidP="00B619CD">
      <w:pPr>
        <w:rPr>
          <w:b/>
          <w:bCs/>
          <w:sz w:val="28"/>
          <w:szCs w:val="28"/>
          <w:rtl/>
        </w:rPr>
      </w:pPr>
      <w:r w:rsidRPr="00DD7CE8">
        <w:rPr>
          <w:rFonts w:hint="cs"/>
          <w:b/>
          <w:bCs/>
          <w:sz w:val="28"/>
          <w:szCs w:val="28"/>
          <w:rtl/>
        </w:rPr>
        <w:t xml:space="preserve">       </w:t>
      </w:r>
    </w:p>
    <w:sectPr w:rsidR="00DD7CE8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37" w:rsidRDefault="00413F37" w:rsidP="006716C3">
      <w:r>
        <w:separator/>
      </w:r>
    </w:p>
  </w:endnote>
  <w:endnote w:type="continuationSeparator" w:id="0">
    <w:p w:rsidR="00413F37" w:rsidRDefault="00413F37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37" w:rsidRDefault="00413F37" w:rsidP="006716C3">
      <w:r>
        <w:separator/>
      </w:r>
    </w:p>
  </w:footnote>
  <w:footnote w:type="continuationSeparator" w:id="0">
    <w:p w:rsidR="00413F37" w:rsidRDefault="00413F37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413F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95A" w:rsidRDefault="00FA295A">
    <w:pPr>
      <w:pStyle w:val="Header"/>
      <w:rPr>
        <w:rtl/>
      </w:rPr>
    </w:pPr>
  </w:p>
  <w:p w:rsidR="00FA295A" w:rsidRDefault="00FA295A">
    <w:pPr>
      <w:pStyle w:val="Header"/>
      <w:rPr>
        <w:rtl/>
      </w:rPr>
    </w:pPr>
  </w:p>
  <w:p w:rsidR="006716C3" w:rsidRDefault="00651728" w:rsidP="00FA295A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848" behindDoc="1" locked="0" layoutInCell="0" allowOverlap="1" wp14:anchorId="211B7788" wp14:editId="35C56D4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3F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413F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pt;height:12pt" o:bullet="t">
        <v:imagedata r:id="rId1" o:title=""/>
      </v:shape>
    </w:pict>
  </w:numPicBullet>
  <w:abstractNum w:abstractNumId="0" w15:restartNumberingAfterBreak="0">
    <w:nsid w:val="0AB43E47"/>
    <w:multiLevelType w:val="hybridMultilevel"/>
    <w:tmpl w:val="EE8E7D32"/>
    <w:lvl w:ilvl="0" w:tplc="D3C24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702C"/>
    <w:multiLevelType w:val="hybridMultilevel"/>
    <w:tmpl w:val="76DA1F7A"/>
    <w:lvl w:ilvl="0" w:tplc="29A4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48"/>
        <w:szCs w:val="48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4A7495"/>
    <w:multiLevelType w:val="hybridMultilevel"/>
    <w:tmpl w:val="0DDAD7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50FA0"/>
    <w:multiLevelType w:val="hybridMultilevel"/>
    <w:tmpl w:val="F9C6C606"/>
    <w:lvl w:ilvl="0" w:tplc="46D4B624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41E0658A"/>
    <w:multiLevelType w:val="hybridMultilevel"/>
    <w:tmpl w:val="5550621E"/>
    <w:lvl w:ilvl="0" w:tplc="9E967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B2586"/>
    <w:multiLevelType w:val="hybridMultilevel"/>
    <w:tmpl w:val="10A252AA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1"/>
    <w:rsid w:val="00024C5E"/>
    <w:rsid w:val="000341E6"/>
    <w:rsid w:val="00047226"/>
    <w:rsid w:val="00086237"/>
    <w:rsid w:val="000B20B8"/>
    <w:rsid w:val="000C50E7"/>
    <w:rsid w:val="001048EE"/>
    <w:rsid w:val="00107044"/>
    <w:rsid w:val="00112DA0"/>
    <w:rsid w:val="00124165"/>
    <w:rsid w:val="00125D5F"/>
    <w:rsid w:val="001272F4"/>
    <w:rsid w:val="00131628"/>
    <w:rsid w:val="00195018"/>
    <w:rsid w:val="001D1221"/>
    <w:rsid w:val="00213CA0"/>
    <w:rsid w:val="002566BA"/>
    <w:rsid w:val="002733AF"/>
    <w:rsid w:val="00282F65"/>
    <w:rsid w:val="002D3FF6"/>
    <w:rsid w:val="002E4DA9"/>
    <w:rsid w:val="00300767"/>
    <w:rsid w:val="003032A0"/>
    <w:rsid w:val="00342163"/>
    <w:rsid w:val="00384B08"/>
    <w:rsid w:val="00385F7C"/>
    <w:rsid w:val="003E33A7"/>
    <w:rsid w:val="003F0AD1"/>
    <w:rsid w:val="003F5136"/>
    <w:rsid w:val="0041130E"/>
    <w:rsid w:val="00413F37"/>
    <w:rsid w:val="004332CE"/>
    <w:rsid w:val="00457A4B"/>
    <w:rsid w:val="0047594F"/>
    <w:rsid w:val="00475AEA"/>
    <w:rsid w:val="004859F1"/>
    <w:rsid w:val="004A7D3C"/>
    <w:rsid w:val="004B3A3C"/>
    <w:rsid w:val="0050313D"/>
    <w:rsid w:val="0058439D"/>
    <w:rsid w:val="005862E3"/>
    <w:rsid w:val="005B236D"/>
    <w:rsid w:val="005C1C01"/>
    <w:rsid w:val="005D586F"/>
    <w:rsid w:val="00605CBD"/>
    <w:rsid w:val="00621356"/>
    <w:rsid w:val="006228F7"/>
    <w:rsid w:val="00640011"/>
    <w:rsid w:val="006404A6"/>
    <w:rsid w:val="00651728"/>
    <w:rsid w:val="00655F1E"/>
    <w:rsid w:val="006716C3"/>
    <w:rsid w:val="006850AA"/>
    <w:rsid w:val="00690B80"/>
    <w:rsid w:val="006B43AC"/>
    <w:rsid w:val="006B5672"/>
    <w:rsid w:val="006B776F"/>
    <w:rsid w:val="006B7B4D"/>
    <w:rsid w:val="006D0747"/>
    <w:rsid w:val="006D4A36"/>
    <w:rsid w:val="00712957"/>
    <w:rsid w:val="007210EE"/>
    <w:rsid w:val="00753D8B"/>
    <w:rsid w:val="00760B71"/>
    <w:rsid w:val="00783516"/>
    <w:rsid w:val="00786613"/>
    <w:rsid w:val="007906E9"/>
    <w:rsid w:val="007A58FE"/>
    <w:rsid w:val="007D7B65"/>
    <w:rsid w:val="007F7783"/>
    <w:rsid w:val="00802A1E"/>
    <w:rsid w:val="00812B8F"/>
    <w:rsid w:val="00814E51"/>
    <w:rsid w:val="008202A4"/>
    <w:rsid w:val="00821994"/>
    <w:rsid w:val="0083225D"/>
    <w:rsid w:val="00863D45"/>
    <w:rsid w:val="00886F85"/>
    <w:rsid w:val="00891EA9"/>
    <w:rsid w:val="008A06DE"/>
    <w:rsid w:val="008C4BAF"/>
    <w:rsid w:val="008F52C9"/>
    <w:rsid w:val="008F588B"/>
    <w:rsid w:val="00951EAD"/>
    <w:rsid w:val="009560A5"/>
    <w:rsid w:val="009606CB"/>
    <w:rsid w:val="009956E6"/>
    <w:rsid w:val="009A1B5C"/>
    <w:rsid w:val="009B6067"/>
    <w:rsid w:val="00A068AE"/>
    <w:rsid w:val="00A1380C"/>
    <w:rsid w:val="00A14537"/>
    <w:rsid w:val="00A8213B"/>
    <w:rsid w:val="00A82BB4"/>
    <w:rsid w:val="00AB3594"/>
    <w:rsid w:val="00AD224A"/>
    <w:rsid w:val="00AD2CA8"/>
    <w:rsid w:val="00AE36CF"/>
    <w:rsid w:val="00B12133"/>
    <w:rsid w:val="00B619CD"/>
    <w:rsid w:val="00B64391"/>
    <w:rsid w:val="00B86234"/>
    <w:rsid w:val="00B969D9"/>
    <w:rsid w:val="00BC3D6A"/>
    <w:rsid w:val="00BD4F2C"/>
    <w:rsid w:val="00BD7D7F"/>
    <w:rsid w:val="00BF2A8E"/>
    <w:rsid w:val="00BF5A57"/>
    <w:rsid w:val="00BF5B61"/>
    <w:rsid w:val="00C006C5"/>
    <w:rsid w:val="00C11A4D"/>
    <w:rsid w:val="00C11D00"/>
    <w:rsid w:val="00C32CFE"/>
    <w:rsid w:val="00C50250"/>
    <w:rsid w:val="00C71EC3"/>
    <w:rsid w:val="00C86FEE"/>
    <w:rsid w:val="00CA3A8B"/>
    <w:rsid w:val="00CA6E9E"/>
    <w:rsid w:val="00CC4920"/>
    <w:rsid w:val="00CF4A97"/>
    <w:rsid w:val="00CF59B0"/>
    <w:rsid w:val="00D0280B"/>
    <w:rsid w:val="00D02AAF"/>
    <w:rsid w:val="00D2185A"/>
    <w:rsid w:val="00D25B4F"/>
    <w:rsid w:val="00D30EF1"/>
    <w:rsid w:val="00D3773F"/>
    <w:rsid w:val="00D601E2"/>
    <w:rsid w:val="00D92B32"/>
    <w:rsid w:val="00D940BF"/>
    <w:rsid w:val="00D96E8B"/>
    <w:rsid w:val="00DC42C3"/>
    <w:rsid w:val="00DC6262"/>
    <w:rsid w:val="00DD7CE8"/>
    <w:rsid w:val="00E02434"/>
    <w:rsid w:val="00E20E8F"/>
    <w:rsid w:val="00E41B13"/>
    <w:rsid w:val="00E562DD"/>
    <w:rsid w:val="00E90F17"/>
    <w:rsid w:val="00EA15D2"/>
    <w:rsid w:val="00EA2BE1"/>
    <w:rsid w:val="00EA30C6"/>
    <w:rsid w:val="00EB38F5"/>
    <w:rsid w:val="00EC0DED"/>
    <w:rsid w:val="00EC4B31"/>
    <w:rsid w:val="00F44977"/>
    <w:rsid w:val="00F53FC5"/>
    <w:rsid w:val="00F62A56"/>
    <w:rsid w:val="00F81F8D"/>
    <w:rsid w:val="00F948E1"/>
    <w:rsid w:val="00FA295A"/>
    <w:rsid w:val="00FD0224"/>
    <w:rsid w:val="00FD11EB"/>
    <w:rsid w:val="00FD1920"/>
    <w:rsid w:val="00FD44A3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B067884F-512E-4AA6-B929-2E90A1DE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Maher</cp:lastModifiedBy>
  <cp:revision>2</cp:revision>
  <cp:lastPrinted>2010-09-26T09:25:00Z</cp:lastPrinted>
  <dcterms:created xsi:type="dcterms:W3CDTF">2018-11-06T03:19:00Z</dcterms:created>
  <dcterms:modified xsi:type="dcterms:W3CDTF">2018-11-06T03:19:00Z</dcterms:modified>
</cp:coreProperties>
</file>