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4" w:rsidRDefault="003E62E4" w:rsidP="003E62E4">
      <w:pPr>
        <w:pStyle w:val="Heading1"/>
        <w:jc w:val="both"/>
        <w:rPr>
          <w:rFonts w:ascii="Simplified Arabic" w:eastAsia="Simplified Arabic" w:hAnsi="Simplified Arabic" w:cs="Simplified Arabic"/>
          <w:b w:val="0"/>
          <w:u w:val="none"/>
        </w:rPr>
      </w:pPr>
      <w:r>
        <w:rPr>
          <w:rFonts w:ascii="Simplified Arabic" w:eastAsia="Simplified Arabic" w:hAnsi="Simplified Arabic" w:cs="Simplified Arabic"/>
          <w:b w:val="0"/>
          <w:bCs w:val="0"/>
          <w:u w:val="none"/>
          <w:rtl/>
        </w:rPr>
        <w:t>وزارة التعليم العالي والبـحث العلمي</w:t>
      </w:r>
    </w:p>
    <w:p w:rsidR="003E62E4" w:rsidRDefault="003E62E4" w:rsidP="003E62E4">
      <w:pPr>
        <w:pStyle w:val="Heading2"/>
        <w:jc w:val="both"/>
        <w:rPr>
          <w:rFonts w:ascii="Simplified Arabic" w:eastAsia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rtl/>
        </w:rPr>
        <w:t xml:space="preserve">  جـــــهاز الإشـــــراف والتقـــويم العلــمي</w:t>
      </w:r>
    </w:p>
    <w:p w:rsidR="003E62E4" w:rsidRDefault="003E62E4" w:rsidP="003E62E4">
      <w:pPr>
        <w:rPr>
          <w:rFonts w:eastAsiaTheme="minorHAnsi"/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E62E4" w:rsidRDefault="003E62E4" w:rsidP="003E62E4">
      <w:pPr>
        <w:rPr>
          <w:rFonts w:eastAsiaTheme="minorHAnsi"/>
          <w:bCs/>
          <w:rtl/>
        </w:rPr>
      </w:pPr>
    </w:p>
    <w:p w:rsidR="003E62E4" w:rsidRDefault="003E62E4" w:rsidP="003E62E4">
      <w:pPr>
        <w:rPr>
          <w:rFonts w:eastAsiaTheme="minorHAnsi"/>
          <w:bCs/>
          <w:rtl/>
        </w:rPr>
      </w:pPr>
    </w:p>
    <w:p w:rsidR="003E62E4" w:rsidRDefault="003E62E4" w:rsidP="003E62E4">
      <w:pPr>
        <w:rPr>
          <w:rFonts w:eastAsiaTheme="minorHAnsi"/>
          <w:bCs/>
        </w:rPr>
      </w:pPr>
    </w:p>
    <w:p w:rsidR="003E62E4" w:rsidRDefault="003E62E4" w:rsidP="003E62E4">
      <w:pPr>
        <w:rPr>
          <w:bCs/>
          <w:rtl/>
        </w:rPr>
      </w:pPr>
    </w:p>
    <w:p w:rsidR="003E62E4" w:rsidRDefault="003E62E4" w:rsidP="003E62E4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E62E4" w:rsidRDefault="003E62E4" w:rsidP="003E62E4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E62E4" w:rsidRDefault="003E62E4" w:rsidP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3E62E4" w:rsidRDefault="003E62E4" w:rsidP="003E62E4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E62E4" w:rsidRDefault="003E62E4" w:rsidP="003E62E4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E62E4" w:rsidRDefault="003E62E4" w:rsidP="003E62E4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E7040C" w:rsidRPr="003E62E4" w:rsidRDefault="00E7040C" w:rsidP="00E7040C">
      <w:pPr>
        <w:rPr>
          <w:sz w:val="16"/>
          <w:szCs w:val="16"/>
        </w:rPr>
      </w:pPr>
    </w:p>
    <w:p w:rsidR="00E7040C" w:rsidRDefault="00E7040C" w:rsidP="00E7040C"/>
    <w:p w:rsidR="00E7040C" w:rsidRPr="003E62E4" w:rsidRDefault="003E62E4" w:rsidP="003E62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E62E4">
        <w:rPr>
          <w:rFonts w:asciiTheme="majorBidi" w:hAnsiTheme="majorBidi" w:cstheme="majorBidi"/>
          <w:b/>
          <w:bCs/>
          <w:sz w:val="36"/>
          <w:szCs w:val="36"/>
          <w:rtl/>
        </w:rPr>
        <w:t>نموذج وصف المقرر</w:t>
      </w:r>
    </w:p>
    <w:p w:rsidR="00E7040C" w:rsidRPr="003E62E4" w:rsidRDefault="00E7040C" w:rsidP="003E62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D25BF" w:rsidRPr="003E62E4" w:rsidRDefault="006D25BF" w:rsidP="003E62E4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3E62E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648"/>
      </w:tblGrid>
      <w:tr w:rsidR="006D25BF" w:rsidRPr="00DB131F" w:rsidTr="003E62E4">
        <w:trPr>
          <w:trHeight w:val="864"/>
        </w:trPr>
        <w:tc>
          <w:tcPr>
            <w:tcW w:w="9648" w:type="dxa"/>
            <w:shd w:val="clear" w:color="auto" w:fill="auto"/>
          </w:tcPr>
          <w:p w:rsidR="006D25BF" w:rsidRPr="00DB131F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السعي الى تقديم اطار فكري وتطبيقي لابرز المحاور الفكرية والممارسات العملية لادارة الاعمال الدولية التي تزود الطالب بالاطار المعرفي المتكامل المطلوب لتط</w:t>
            </w:r>
            <w:r w:rsidR="00EA76E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ير مقدراته الجوهرية وتعزيز راسماله الفكري باستخدام مهارات التحليل والاستنباط العملي المبني على الحالات الدراسية وبالشكل الذي تمكنه من مواكبة التطورات الدولية في بيئة ادارة الاعمال وتنافسيتها.</w:t>
            </w:r>
          </w:p>
        </w:tc>
      </w:tr>
    </w:tbl>
    <w:p w:rsidR="006D25BF" w:rsidRPr="007778AD" w:rsidRDefault="006D25BF" w:rsidP="00A35781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"/>
          <w:szCs w:val="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بغداد/ كلية الإدارة والاقتصاد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الأعمال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الأعمال الدولية 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الثالثة -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إدارة أعمال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9B354C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A3578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الكورس لثاني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337C8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6D25BF" w:rsidP="003E62E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="007778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) ساعات أسبوعياً 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7778AD" w:rsidP="003E62E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A3578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6D25BF" w:rsidRPr="003A678A" w:rsidTr="003E62E4">
        <w:trPr>
          <w:trHeight w:val="239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  <w:p w:rsidR="006D25BF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25B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يهدف هذا المقرر إلى تزويد الطلبة بنظرة عامة ومعمقة </w:t>
            </w:r>
            <w:r w:rsidR="00A8764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حول المرتكزات الفكرية 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لإدارة الاعمال الدولية وابرز ننماذجها المتداولة والمنظمات والاتفاقيات ذات العلاقة بها ، فضلا عن الثقافة والمعرفة وانواعها وشخصيات المفاوضين وابرز الاستراتيجيات والتكتيكات التفاوضية فيها ، وخارطة اصحاب المصالح واستراتيجيات الدخول للاسواق الدولية </w:t>
            </w:r>
            <w:r w:rsidR="00FE1E8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 كما يهدف المقرر ايضا الى تعريف القارئ ب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أنشطة او عمليات ادارة الاعمال الدولية من منظور عالمي كإدارة الموارد البشرية والتسويق والعمليات والادارة المالية</w:t>
            </w:r>
            <w:r w:rsidR="00A8764F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9016"/>
            </w:tblGrid>
            <w:tr w:rsidR="00A05E11" w:rsidRPr="00125874" w:rsidTr="009F7EB0">
              <w:trPr>
                <w:trHeight w:val="516"/>
              </w:trPr>
              <w:tc>
                <w:tcPr>
                  <w:tcW w:w="9016" w:type="dxa"/>
                </w:tcPr>
                <w:p w:rsidR="00A05E11" w:rsidRPr="00125874" w:rsidRDefault="00A05E11" w:rsidP="009F7EB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9- مخرجات المقرر وطرائق التعليم والتعلم والتقييم</w:t>
                  </w:r>
                </w:p>
              </w:tc>
            </w:tr>
            <w:tr w:rsidR="00A05E11" w:rsidRPr="00125874" w:rsidTr="009F7EB0">
              <w:trPr>
                <w:trHeight w:val="915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A05E11" w:rsidRDefault="00A05E11" w:rsidP="00A05E11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مفهوم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الدولية</w:t>
                  </w:r>
                </w:p>
                <w:p w:rsidR="00A05E11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نماذج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الدولية</w:t>
                  </w:r>
                </w:p>
                <w:p w:rsidR="00A05E11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معرفة تطبيقات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الدولية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معرفة استراتيجية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الادارة الدولية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972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ب -  المهارات الخاصة بالموضوع 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الاطلاع على بعض المصادر في ادارة الاعمال الالكترونية ودراسة مواضيع سابقة (حالات دراسية)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972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مهارات التفكير الخاصة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الادارة الدولية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وكيفية تطبيقها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485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A05E11" w:rsidRPr="00125874" w:rsidTr="009F7EB0">
              <w:trPr>
                <w:trHeight w:val="1001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عرض المحاضرة من قبل استا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ذة المادة وفسح المجال  للطلبة بالمشاركة بالاسئلة والاجابة على الاسئلة التي تطرح عليه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567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A05E11" w:rsidRPr="00125874" w:rsidTr="009F7EB0">
              <w:trPr>
                <w:trHeight w:val="1539"/>
              </w:trPr>
              <w:tc>
                <w:tcPr>
                  <w:tcW w:w="9016" w:type="dxa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المشاركات اليومية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الامتحانات الشهرية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الالتزام بالحضور</w:t>
                  </w:r>
                </w:p>
                <w:p w:rsidR="00A05E11" w:rsidRPr="00125874" w:rsidRDefault="00A05E11" w:rsidP="00A05E11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A05E11" w:rsidRPr="00125874" w:rsidRDefault="00A05E11" w:rsidP="00A05E11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A05E11">
                  <w:pPr>
                    <w:tabs>
                      <w:tab w:val="left" w:pos="2530"/>
                    </w:tabs>
                    <w:autoSpaceDE w:val="0"/>
                    <w:autoSpaceDN w:val="0"/>
                    <w:adjustRightInd w:val="0"/>
                    <w:ind w:left="1080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زرع الثقة بالنفس لدى الطالب </w:t>
                  </w:r>
                  <w:r w:rsidRPr="00285E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وروح المبادرة والمساهمة في تقديم المساعدة للآخرين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E1E8E" w:rsidRPr="00A05E11" w:rsidRDefault="00FE1E8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6D25BF" w:rsidRPr="0020555A" w:rsidRDefault="006D25BF" w:rsidP="00A35781">
      <w:pPr>
        <w:shd w:val="clear" w:color="auto" w:fill="FFFFFF" w:themeFill="background1"/>
        <w:spacing w:before="240" w:after="240"/>
        <w:rPr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108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44"/>
        <w:gridCol w:w="1109"/>
        <w:gridCol w:w="3260"/>
        <w:gridCol w:w="2559"/>
        <w:gridCol w:w="1411"/>
        <w:gridCol w:w="1559"/>
      </w:tblGrid>
      <w:tr w:rsidR="006D25BF" w:rsidRPr="00DB131F" w:rsidTr="003E62E4">
        <w:trPr>
          <w:trHeight w:val="538"/>
        </w:trPr>
        <w:tc>
          <w:tcPr>
            <w:tcW w:w="10842" w:type="dxa"/>
            <w:gridSpan w:val="6"/>
            <w:shd w:val="clear" w:color="auto" w:fill="auto"/>
            <w:vAlign w:val="center"/>
          </w:tcPr>
          <w:p w:rsidR="006D25BF" w:rsidRPr="00944FD3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6D25BF" w:rsidRPr="00944FD3" w:rsidTr="003E62E4">
        <w:trPr>
          <w:trHeight w:val="907"/>
        </w:trPr>
        <w:tc>
          <w:tcPr>
            <w:tcW w:w="944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D25BF" w:rsidRPr="00AF30DE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اسم الوحدة / المساق أو </w:t>
            </w: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لموضوع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D25BF" w:rsidRPr="00AF30DE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طريقةالتعليم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D25BF" w:rsidRPr="00D70DBA" w:rsidTr="003E62E4">
        <w:trPr>
          <w:trHeight w:val="39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FE1E8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E039A3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تحليل مفاهيم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، والادارة العامة الدولية وشركات الصنف العالمي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المظلة الفكرية والمفاهيمية لإدارة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39"/>
        </w:trPr>
        <w:tc>
          <w:tcPr>
            <w:tcW w:w="944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اهمية إدارة الأعمال الدوليةوابرز الاهداف التي تطمح لتحقيقها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أهمية وأهداف إدارة الأعمال الدولية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2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خصائص إدارة الأعمال الدولية وابرز القيود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خصائص إدارة الأعمال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31"/>
        </w:trPr>
        <w:tc>
          <w:tcPr>
            <w:tcW w:w="944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ابرز التحديات الداخلية والخارجية لادارة الاعمال الدولية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تحديات إدارة الأعمال الدولية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3E62E4">
        <w:trPr>
          <w:trHeight w:val="331"/>
        </w:trPr>
        <w:tc>
          <w:tcPr>
            <w:tcW w:w="944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ادراك درجة عمق الشركة في مزاولة نشاط الاعمال الدولية ، والادوار التي تلعبها الفروع المحلية في الشركات عابرة الحدود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مستويات شركات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ونماذجها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3E62E4">
        <w:trPr>
          <w:trHeight w:val="34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الامتحان 1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12962" w:rsidRPr="00B12962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B12962" w:rsidRPr="00D70DBA" w:rsidTr="003E62E4">
        <w:trPr>
          <w:trHeight w:val="323"/>
        </w:trPr>
        <w:tc>
          <w:tcPr>
            <w:tcW w:w="944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962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منظمة التجارة العالمية ودورها </w:t>
            </w:r>
            <w:r w:rsidR="00B1296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بقضايا إدارة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وابرز خصائصها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</w:t>
            </w:r>
            <w:r w:rsidR="00366088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-  منظمة التجارة العالمية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صندوق النقد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المنظمات الدولية وإدارة الاعمال الدولية -   صندوق النقد الدولي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البنك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-   البنك 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استعراض ابرز الاتفاقيات الدولية والاقليمية ذات العلاقة بادارة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الاتفاقيات الدولية والاقليمية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B12962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ماهية الثقافة التنظيمية والشركات متعددة الثقافات وإدارة الصدمة الثقافية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الثقافة والشركات متعددة الثقافات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الدور الذي تلعبه الثقافة في شركات الاعمال الدولية وانواعها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الدور الذي تلعبه الثقافة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Default="00C6702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هوفستلد في شركات الاعمال الدولية </w:t>
            </w:r>
            <w:r w:rsidR="00DB0BF7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وابرز الابعاد التي يحتويها الانموذج </w:t>
            </w:r>
          </w:p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C6702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أنموذج هوفستلد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15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لويس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أنموذج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لويس</w:t>
            </w: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 w:rsidRPr="00DB0BF7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B12962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التعرف على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مفهوم التفاوض وانواعه وخصائصه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التفاوض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بيان ابرز الخصائص والسمات ذات العلاقة بالشخصيات التفاوضية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الشخصيات التفاوضية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ابرز انواع الاستراتيجيات التفاوضية الزمانية والمكانية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في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التفاوض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ابراز التكتيكات التفاوضية التي تعمل بها 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التكتيكات التفاوضية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1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B12962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 المصطلحات الاساسية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استراتيجيات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واتجاهات الفعل التنافسي 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استراتيجيات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توضيح المفهوم وبيان اختلافه عن المصطلح العام مع بيان ابرز خصائصه وانماطه الشائعة حول العالم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القيادة الاستراتيجية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اصحاب المصالح وخصائصهم وخارطتهم وبحسب المصفوفة الخاصة بهم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أصحاب المصالح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ابرز الطرائق التي تسهل نفاد شركات الاعمال الدولية الى الاسواق المحلية والدولية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الدخول الى الاسواق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B12962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الموارد البشرية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الموارد البشرية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التسويق الدولي وابرز الادوار الجديدة التي يلعبها والتحديات التي يواجهها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التسويق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10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 الادارة المالية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الادارة المالية الدولية </w:t>
            </w:r>
          </w:p>
        </w:tc>
        <w:tc>
          <w:tcPr>
            <w:tcW w:w="1411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152B5" w:rsidRPr="00D70DBA" w:rsidTr="003E62E4">
        <w:trPr>
          <w:trHeight w:val="319"/>
        </w:trPr>
        <w:tc>
          <w:tcPr>
            <w:tcW w:w="944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D152B5" w:rsidRPr="00B12962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</w:tbl>
    <w:p w:rsidR="00013621" w:rsidRDefault="00013621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Default="00D152B5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Pr="00013621" w:rsidRDefault="00D152B5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tbl>
      <w:tblPr>
        <w:bidiVisual/>
        <w:tblW w:w="10821" w:type="dxa"/>
        <w:jc w:val="center"/>
        <w:tblInd w:w="-43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527"/>
        <w:gridCol w:w="6294"/>
      </w:tblGrid>
      <w:tr w:rsidR="00013621" w:rsidRPr="00DB131F" w:rsidTr="003E62E4">
        <w:trPr>
          <w:trHeight w:val="477"/>
          <w:jc w:val="center"/>
        </w:trPr>
        <w:tc>
          <w:tcPr>
            <w:tcW w:w="10821" w:type="dxa"/>
            <w:gridSpan w:val="2"/>
            <w:shd w:val="clear" w:color="auto" w:fill="auto"/>
            <w:vAlign w:val="center"/>
          </w:tcPr>
          <w:p w:rsidR="00013621" w:rsidRPr="00DB131F" w:rsidRDefault="00013621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013621" w:rsidRPr="00D70DBA" w:rsidTr="003E62E4">
        <w:trPr>
          <w:trHeight w:val="301"/>
          <w:jc w:val="center"/>
        </w:trPr>
        <w:tc>
          <w:tcPr>
            <w:tcW w:w="4527" w:type="dxa"/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القراءات المطلوبة :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النصوص الأساسية 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كتب المقرر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أخرى    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13621" w:rsidRPr="00D152B5" w:rsidRDefault="00D152B5" w:rsidP="00A35781">
            <w:pPr>
              <w:shd w:val="clear" w:color="auto" w:fill="FFFFFF" w:themeFill="background1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D152B5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إدارة الاعمال الدولية: مدخل منهجي متكامل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( 2013) ، الدكتور احمد علي صالح ، دار وائل للنشر ، الطبعة الاولى ، عمان ، الاردن.</w:t>
            </w:r>
          </w:p>
        </w:tc>
      </w:tr>
      <w:tr w:rsidR="00013621" w:rsidRPr="00D70DBA" w:rsidTr="003E62E4">
        <w:trPr>
          <w:trHeight w:val="263"/>
          <w:jc w:val="center"/>
        </w:trPr>
        <w:tc>
          <w:tcPr>
            <w:tcW w:w="452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294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13621" w:rsidRDefault="00D152B5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Business Insider, </w:t>
            </w:r>
            <w:hyperlink r:id="rId8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www.businessinsider.com</w:t>
              </w:r>
            </w:hyperlink>
          </w:p>
          <w:p w:rsidR="00D152B5" w:rsidRDefault="00D152B5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Harvard Business Review, </w:t>
            </w:r>
            <w:hyperlink r:id="rId9" w:history="1">
              <w:r w:rsidR="00AC18C2"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www.hbr.org</w:t>
              </w:r>
            </w:hyperlink>
          </w:p>
          <w:p w:rsidR="00AC18C2" w:rsidRDefault="00AC18C2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Ivey Business Review, </w:t>
            </w:r>
            <w:hyperlink r:id="rId10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www.iveybusinessreview.ca</w:t>
              </w:r>
            </w:hyperlink>
          </w:p>
          <w:p w:rsidR="00AC18C2" w:rsidRPr="00D70DBA" w:rsidRDefault="00AC18C2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D70DBA" w:rsidTr="003E62E4">
        <w:trPr>
          <w:trHeight w:val="215"/>
          <w:jc w:val="center"/>
        </w:trPr>
        <w:tc>
          <w:tcPr>
            <w:tcW w:w="4527" w:type="dxa"/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13621" w:rsidRPr="00D70DBA" w:rsidRDefault="0080296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 يوجد</w:t>
            </w:r>
          </w:p>
        </w:tc>
      </w:tr>
    </w:tbl>
    <w:p w:rsidR="00013621" w:rsidRDefault="00013621" w:rsidP="003E62E4">
      <w:pPr>
        <w:rPr>
          <w:rtl/>
        </w:rPr>
      </w:pPr>
    </w:p>
    <w:tbl>
      <w:tblPr>
        <w:bidiVisual/>
        <w:tblW w:w="10915" w:type="dxa"/>
        <w:tblInd w:w="-12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61"/>
        <w:gridCol w:w="5954"/>
      </w:tblGrid>
      <w:tr w:rsidR="00013621" w:rsidRPr="00DB131F" w:rsidTr="003E62E4">
        <w:trPr>
          <w:trHeight w:val="41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013621" w:rsidRPr="00DB131F" w:rsidRDefault="00013621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المتطلبات السابقة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5954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13621" w:rsidRPr="000049E3" w:rsidRDefault="00E7040C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3621" w:rsidRPr="000049E3" w:rsidRDefault="003E62E4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55</w:t>
            </w:r>
          </w:p>
        </w:tc>
      </w:tr>
    </w:tbl>
    <w:p w:rsidR="00AC18C2" w:rsidRDefault="00AC18C2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E7040C" w:rsidRPr="002A432E" w:rsidRDefault="00AC18C2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sz w:val="24"/>
          <w:szCs w:val="24"/>
          <w:lang w:bidi="ar-IQ"/>
        </w:rPr>
      </w:pPr>
      <w:r>
        <w:rPr>
          <w:rFonts w:cs="Arial"/>
          <w:b/>
          <w:bCs/>
          <w:color w:val="1F497D"/>
          <w:sz w:val="36"/>
          <w:szCs w:val="36"/>
          <w:rtl/>
          <w:lang w:bidi="ar-IQ"/>
        </w:rPr>
        <w:br w:type="page"/>
      </w:r>
      <w:r w:rsidR="00E7040C" w:rsidRPr="002A432E">
        <w:rPr>
          <w:rFonts w:cs="Arial"/>
          <w:sz w:val="24"/>
          <w:szCs w:val="24"/>
          <w:lang w:bidi="ar-IQ"/>
        </w:rPr>
        <w:lastRenderedPageBreak/>
        <w:t xml:space="preserve"> </w:t>
      </w:r>
    </w:p>
    <w:p w:rsidR="00013621" w:rsidRPr="002A432E" w:rsidRDefault="00A35781" w:rsidP="00A35781">
      <w:pPr>
        <w:shd w:val="clear" w:color="auto" w:fill="FFFFFF" w:themeFill="background1"/>
        <w:spacing w:before="240" w:after="240" w:line="276" w:lineRule="auto"/>
        <w:jc w:val="both"/>
        <w:rPr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</w:t>
      </w:r>
    </w:p>
    <w:p w:rsidR="00807DE1" w:rsidRPr="00807DE1" w:rsidRDefault="00807DE1" w:rsidP="00807DE1">
      <w:pPr>
        <w:rPr>
          <w:vanish/>
        </w:rPr>
      </w:pPr>
    </w:p>
    <w:sectPr w:rsidR="00807DE1" w:rsidRPr="00807DE1" w:rsidSect="00D152B5">
      <w:footerReference w:type="default" r:id="rId11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F2" w:rsidRDefault="003E4CF2">
      <w:r>
        <w:separator/>
      </w:r>
    </w:p>
  </w:endnote>
  <w:endnote w:type="continuationSeparator" w:id="1">
    <w:p w:rsidR="003E4CF2" w:rsidRDefault="003E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44005" w:rsidRPr="00844005">
            <w:rPr>
              <w:rFonts w:cs="Arial"/>
            </w:rPr>
            <w:fldChar w:fldCharType="begin"/>
          </w:r>
          <w:r w:rsidRPr="00BE0AE8">
            <w:rPr>
              <w:rFonts w:cs="Arial"/>
            </w:rPr>
            <w:instrText>PAGE  \* MERGEFORMAT</w:instrText>
          </w:r>
          <w:r w:rsidR="00844005" w:rsidRPr="00844005">
            <w:rPr>
              <w:rFonts w:cs="Arial"/>
            </w:rPr>
            <w:fldChar w:fldCharType="separate"/>
          </w:r>
          <w:r w:rsidR="00A05E11" w:rsidRPr="00A05E11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="0084400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BE0AE8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F2" w:rsidRDefault="003E4CF2">
      <w:r>
        <w:separator/>
      </w:r>
    </w:p>
  </w:footnote>
  <w:footnote w:type="continuationSeparator" w:id="1">
    <w:p w:rsidR="003E4CF2" w:rsidRDefault="003E4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49E3"/>
    <w:rsid w:val="00005774"/>
    <w:rsid w:val="00007B9F"/>
    <w:rsid w:val="00013621"/>
    <w:rsid w:val="000428A6"/>
    <w:rsid w:val="00063AD7"/>
    <w:rsid w:val="00070BE9"/>
    <w:rsid w:val="0008002F"/>
    <w:rsid w:val="00090A55"/>
    <w:rsid w:val="000A1C7A"/>
    <w:rsid w:val="000A67F9"/>
    <w:rsid w:val="000A69B4"/>
    <w:rsid w:val="000A73BF"/>
    <w:rsid w:val="000B4430"/>
    <w:rsid w:val="000E19A2"/>
    <w:rsid w:val="000E58E3"/>
    <w:rsid w:val="000F2476"/>
    <w:rsid w:val="000F3655"/>
    <w:rsid w:val="000F5F6D"/>
    <w:rsid w:val="00102C53"/>
    <w:rsid w:val="00104BF3"/>
    <w:rsid w:val="0010580A"/>
    <w:rsid w:val="001141F6"/>
    <w:rsid w:val="00120778"/>
    <w:rsid w:val="001304F3"/>
    <w:rsid w:val="001337C8"/>
    <w:rsid w:val="0014600C"/>
    <w:rsid w:val="0015696E"/>
    <w:rsid w:val="00182552"/>
    <w:rsid w:val="00192A9C"/>
    <w:rsid w:val="001B0307"/>
    <w:rsid w:val="001B51EB"/>
    <w:rsid w:val="001C1CD7"/>
    <w:rsid w:val="001D678C"/>
    <w:rsid w:val="001F560A"/>
    <w:rsid w:val="001F7A06"/>
    <w:rsid w:val="002000D6"/>
    <w:rsid w:val="00203A53"/>
    <w:rsid w:val="0020555A"/>
    <w:rsid w:val="002358AF"/>
    <w:rsid w:val="00236F0D"/>
    <w:rsid w:val="0023793A"/>
    <w:rsid w:val="00242DCC"/>
    <w:rsid w:val="002444B5"/>
    <w:rsid w:val="00265E20"/>
    <w:rsid w:val="00297E64"/>
    <w:rsid w:val="002B28B2"/>
    <w:rsid w:val="002C74F4"/>
    <w:rsid w:val="002D2398"/>
    <w:rsid w:val="002F032D"/>
    <w:rsid w:val="002F0830"/>
    <w:rsid w:val="002F1537"/>
    <w:rsid w:val="00305509"/>
    <w:rsid w:val="0030567D"/>
    <w:rsid w:val="003068D1"/>
    <w:rsid w:val="003132A6"/>
    <w:rsid w:val="00327FCC"/>
    <w:rsid w:val="0034068F"/>
    <w:rsid w:val="00357C89"/>
    <w:rsid w:val="00366088"/>
    <w:rsid w:val="00372012"/>
    <w:rsid w:val="00391BA9"/>
    <w:rsid w:val="003A16B8"/>
    <w:rsid w:val="003A3412"/>
    <w:rsid w:val="003A678A"/>
    <w:rsid w:val="003A6895"/>
    <w:rsid w:val="003C56DD"/>
    <w:rsid w:val="003D4EAF"/>
    <w:rsid w:val="003D5734"/>
    <w:rsid w:val="003D742A"/>
    <w:rsid w:val="003D7925"/>
    <w:rsid w:val="003E04B9"/>
    <w:rsid w:val="003E179B"/>
    <w:rsid w:val="003E4CF2"/>
    <w:rsid w:val="003E55DB"/>
    <w:rsid w:val="003E62E4"/>
    <w:rsid w:val="003F6248"/>
    <w:rsid w:val="00406DC6"/>
    <w:rsid w:val="004319BE"/>
    <w:rsid w:val="004361D7"/>
    <w:rsid w:val="00457EA3"/>
    <w:rsid w:val="004662C5"/>
    <w:rsid w:val="0048407D"/>
    <w:rsid w:val="00487CAC"/>
    <w:rsid w:val="004A4634"/>
    <w:rsid w:val="004A6A6D"/>
    <w:rsid w:val="004D00FA"/>
    <w:rsid w:val="004D2002"/>
    <w:rsid w:val="004D3497"/>
    <w:rsid w:val="004D50CE"/>
    <w:rsid w:val="004E0EBA"/>
    <w:rsid w:val="004E3ECF"/>
    <w:rsid w:val="004E60C2"/>
    <w:rsid w:val="004F0938"/>
    <w:rsid w:val="00516004"/>
    <w:rsid w:val="00534329"/>
    <w:rsid w:val="00534BDB"/>
    <w:rsid w:val="00535D14"/>
    <w:rsid w:val="00543AC9"/>
    <w:rsid w:val="00547A12"/>
    <w:rsid w:val="00581B3C"/>
    <w:rsid w:val="005827E2"/>
    <w:rsid w:val="00584D07"/>
    <w:rsid w:val="00584DA6"/>
    <w:rsid w:val="00595034"/>
    <w:rsid w:val="005A3CAC"/>
    <w:rsid w:val="005C050F"/>
    <w:rsid w:val="005C71F0"/>
    <w:rsid w:val="005D644B"/>
    <w:rsid w:val="005D69BE"/>
    <w:rsid w:val="005E2377"/>
    <w:rsid w:val="005F733A"/>
    <w:rsid w:val="0060297B"/>
    <w:rsid w:val="006031F2"/>
    <w:rsid w:val="00606B47"/>
    <w:rsid w:val="006101CA"/>
    <w:rsid w:val="006120D9"/>
    <w:rsid w:val="00623353"/>
    <w:rsid w:val="00624259"/>
    <w:rsid w:val="00627034"/>
    <w:rsid w:val="006279D6"/>
    <w:rsid w:val="006315D0"/>
    <w:rsid w:val="00636CB6"/>
    <w:rsid w:val="006377B6"/>
    <w:rsid w:val="00637C8B"/>
    <w:rsid w:val="00671EDD"/>
    <w:rsid w:val="00677895"/>
    <w:rsid w:val="006D25BF"/>
    <w:rsid w:val="006D4F39"/>
    <w:rsid w:val="0075633E"/>
    <w:rsid w:val="00760D34"/>
    <w:rsid w:val="007645B4"/>
    <w:rsid w:val="00767E3E"/>
    <w:rsid w:val="007716A6"/>
    <w:rsid w:val="007778AD"/>
    <w:rsid w:val="0078752C"/>
    <w:rsid w:val="0079031B"/>
    <w:rsid w:val="007A7C20"/>
    <w:rsid w:val="007B0B99"/>
    <w:rsid w:val="007B21F5"/>
    <w:rsid w:val="007F319C"/>
    <w:rsid w:val="007F5262"/>
    <w:rsid w:val="00802967"/>
    <w:rsid w:val="00807DE1"/>
    <w:rsid w:val="00830818"/>
    <w:rsid w:val="00844005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D4E9D"/>
    <w:rsid w:val="008E27DA"/>
    <w:rsid w:val="008F3E7F"/>
    <w:rsid w:val="00902FDF"/>
    <w:rsid w:val="00925B10"/>
    <w:rsid w:val="0094549C"/>
    <w:rsid w:val="0096666E"/>
    <w:rsid w:val="00967B24"/>
    <w:rsid w:val="0098449B"/>
    <w:rsid w:val="0098755F"/>
    <w:rsid w:val="009A07B9"/>
    <w:rsid w:val="009B354C"/>
    <w:rsid w:val="009B609A"/>
    <w:rsid w:val="009B68B5"/>
    <w:rsid w:val="009C4ACD"/>
    <w:rsid w:val="009D36E7"/>
    <w:rsid w:val="009D5412"/>
    <w:rsid w:val="009E2D35"/>
    <w:rsid w:val="009F7BAF"/>
    <w:rsid w:val="00A05E11"/>
    <w:rsid w:val="00A07775"/>
    <w:rsid w:val="00A11A57"/>
    <w:rsid w:val="00A12DBC"/>
    <w:rsid w:val="00A2126F"/>
    <w:rsid w:val="00A30E4D"/>
    <w:rsid w:val="00A32E9F"/>
    <w:rsid w:val="00A35781"/>
    <w:rsid w:val="00A4754D"/>
    <w:rsid w:val="00A658DD"/>
    <w:rsid w:val="00A676A4"/>
    <w:rsid w:val="00A717B0"/>
    <w:rsid w:val="00A85288"/>
    <w:rsid w:val="00A8764F"/>
    <w:rsid w:val="00AB2B0D"/>
    <w:rsid w:val="00AB71A5"/>
    <w:rsid w:val="00AC18C2"/>
    <w:rsid w:val="00AC5E10"/>
    <w:rsid w:val="00AD37EA"/>
    <w:rsid w:val="00AD4058"/>
    <w:rsid w:val="00AE0B23"/>
    <w:rsid w:val="00AF30DE"/>
    <w:rsid w:val="00B04671"/>
    <w:rsid w:val="00B12962"/>
    <w:rsid w:val="00B15F45"/>
    <w:rsid w:val="00B32265"/>
    <w:rsid w:val="00B412FE"/>
    <w:rsid w:val="00B5102D"/>
    <w:rsid w:val="00B521B7"/>
    <w:rsid w:val="00B727AD"/>
    <w:rsid w:val="00BB1D60"/>
    <w:rsid w:val="00BC76C0"/>
    <w:rsid w:val="00BD6410"/>
    <w:rsid w:val="00BE0AE8"/>
    <w:rsid w:val="00BF4161"/>
    <w:rsid w:val="00C101FB"/>
    <w:rsid w:val="00C342BC"/>
    <w:rsid w:val="00C370D1"/>
    <w:rsid w:val="00C67022"/>
    <w:rsid w:val="00C758B3"/>
    <w:rsid w:val="00C8082D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E4E72"/>
    <w:rsid w:val="00CF37CA"/>
    <w:rsid w:val="00CF6708"/>
    <w:rsid w:val="00D06ADB"/>
    <w:rsid w:val="00D0779D"/>
    <w:rsid w:val="00D152B5"/>
    <w:rsid w:val="00D1550E"/>
    <w:rsid w:val="00D21ABA"/>
    <w:rsid w:val="00D23280"/>
    <w:rsid w:val="00D24937"/>
    <w:rsid w:val="00D30E6A"/>
    <w:rsid w:val="00D330F7"/>
    <w:rsid w:val="00D355A3"/>
    <w:rsid w:val="00D35AEC"/>
    <w:rsid w:val="00D469A0"/>
    <w:rsid w:val="00D6182E"/>
    <w:rsid w:val="00D64F13"/>
    <w:rsid w:val="00D67953"/>
    <w:rsid w:val="00D70DBA"/>
    <w:rsid w:val="00D7585F"/>
    <w:rsid w:val="00D80DD5"/>
    <w:rsid w:val="00D84C32"/>
    <w:rsid w:val="00D92EBE"/>
    <w:rsid w:val="00DB0BF7"/>
    <w:rsid w:val="00DB131F"/>
    <w:rsid w:val="00DB41A0"/>
    <w:rsid w:val="00DC5FB3"/>
    <w:rsid w:val="00E039A3"/>
    <w:rsid w:val="00E044F7"/>
    <w:rsid w:val="00E06A63"/>
    <w:rsid w:val="00E17DF2"/>
    <w:rsid w:val="00E2684E"/>
    <w:rsid w:val="00E4594B"/>
    <w:rsid w:val="00E507CC"/>
    <w:rsid w:val="00E61516"/>
    <w:rsid w:val="00E63C9E"/>
    <w:rsid w:val="00E7040C"/>
    <w:rsid w:val="00E734E3"/>
    <w:rsid w:val="00E7597F"/>
    <w:rsid w:val="00E81C0D"/>
    <w:rsid w:val="00E9635D"/>
    <w:rsid w:val="00EA76EE"/>
    <w:rsid w:val="00EA7967"/>
    <w:rsid w:val="00EB0147"/>
    <w:rsid w:val="00EB39F9"/>
    <w:rsid w:val="00EC2141"/>
    <w:rsid w:val="00EE06F8"/>
    <w:rsid w:val="00EE0DAB"/>
    <w:rsid w:val="00EE1AC2"/>
    <w:rsid w:val="00F170F4"/>
    <w:rsid w:val="00F3010C"/>
    <w:rsid w:val="00F352D5"/>
    <w:rsid w:val="00F53301"/>
    <w:rsid w:val="00F550BE"/>
    <w:rsid w:val="00F56174"/>
    <w:rsid w:val="00F61A97"/>
    <w:rsid w:val="00F745F2"/>
    <w:rsid w:val="00F80574"/>
    <w:rsid w:val="00F87100"/>
    <w:rsid w:val="00FA682B"/>
    <w:rsid w:val="00FB6A6F"/>
    <w:rsid w:val="00FC2D99"/>
    <w:rsid w:val="00FE1E8E"/>
    <w:rsid w:val="00FE4D20"/>
    <w:rsid w:val="00FF072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rsid w:val="00E7040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7040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E7040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D152B5"/>
    <w:rPr>
      <w:color w:val="0000FF"/>
      <w:u w:val="single"/>
    </w:rPr>
  </w:style>
  <w:style w:type="character" w:styleId="Emphasis">
    <w:name w:val="Emphasis"/>
    <w:uiPriority w:val="20"/>
    <w:qFormat/>
    <w:rsid w:val="00AC18C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7040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040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7040C"/>
    <w:rPr>
      <w:b/>
    </w:rPr>
  </w:style>
  <w:style w:type="character" w:customStyle="1" w:styleId="Heading1Char">
    <w:name w:val="Heading 1 Char"/>
    <w:basedOn w:val="DefaultParagraphFont"/>
    <w:link w:val="Heading1"/>
    <w:rsid w:val="00E7040C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7040C"/>
    <w:rPr>
      <w:rFonts w:cs="Traditional Arabic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rsid w:val="00E7040C"/>
    <w:rPr>
      <w:rFonts w:cs="Traditional Arabic"/>
      <w:b/>
      <w:bCs/>
      <w:szCs w:val="32"/>
    </w:rPr>
  </w:style>
  <w:style w:type="paragraph" w:styleId="Title">
    <w:name w:val="Title"/>
    <w:basedOn w:val="Normal"/>
    <w:next w:val="Normal"/>
    <w:link w:val="TitleChar"/>
    <w:rsid w:val="00E7040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7040C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704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7040C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D152B5"/>
    <w:rPr>
      <w:color w:val="0000FF"/>
      <w:u w:val="single"/>
    </w:rPr>
  </w:style>
  <w:style w:type="character" w:styleId="Emphasis">
    <w:name w:val="Emphasis"/>
    <w:uiPriority w:val="20"/>
    <w:qFormat/>
    <w:rsid w:val="00AC18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veybusinessreview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EA8F-F847-4B67-9F69-8E13C6D3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Ahmed-Under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Dr. Ali Al Sudany</dc:creator>
  <cp:lastModifiedBy>lenovo</cp:lastModifiedBy>
  <cp:revision>3</cp:revision>
  <cp:lastPrinted>2014-02-11T22:56:00Z</cp:lastPrinted>
  <dcterms:created xsi:type="dcterms:W3CDTF">2022-04-04T15:03:00Z</dcterms:created>
  <dcterms:modified xsi:type="dcterms:W3CDTF">2022-04-05T08:11:00Z</dcterms:modified>
</cp:coreProperties>
</file>