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E4" w:rsidRDefault="003E62E4" w:rsidP="003E62E4">
      <w:pPr>
        <w:pStyle w:val="Heading1"/>
        <w:jc w:val="both"/>
        <w:rPr>
          <w:rFonts w:ascii="Simplified Arabic" w:eastAsia="Simplified Arabic" w:hAnsi="Simplified Arabic" w:cs="Simplified Arabic"/>
          <w:b w:val="0"/>
          <w:u w:val="none"/>
        </w:rPr>
      </w:pPr>
      <w:r>
        <w:rPr>
          <w:rFonts w:ascii="Simplified Arabic" w:eastAsia="Simplified Arabic" w:hAnsi="Simplified Arabic" w:cs="Simplified Arabic"/>
          <w:b w:val="0"/>
          <w:bCs w:val="0"/>
          <w:u w:val="none"/>
          <w:rtl/>
        </w:rPr>
        <w:t>وزارة التعليم العالي والبـحث العلمي</w:t>
      </w:r>
    </w:p>
    <w:p w:rsidR="003E62E4" w:rsidRDefault="003E62E4" w:rsidP="003E62E4">
      <w:pPr>
        <w:pStyle w:val="Heading2"/>
        <w:jc w:val="both"/>
        <w:rPr>
          <w:rFonts w:ascii="Simplified Arabic" w:eastAsia="Simplified Arabic" w:hAnsi="Simplified Arabic" w:cs="Simplified Arabic"/>
          <w:b w:val="0"/>
          <w:bCs w:val="0"/>
          <w:sz w:val="28"/>
          <w:szCs w:val="28"/>
        </w:rPr>
      </w:pPr>
      <w:r>
        <w:rPr>
          <w:rFonts w:ascii="Simplified Arabic" w:eastAsia="Simplified Arabic" w:hAnsi="Simplified Arabic" w:cs="Simplified Arabic"/>
          <w:b w:val="0"/>
          <w:bCs w:val="0"/>
          <w:sz w:val="28"/>
          <w:szCs w:val="28"/>
          <w:rtl/>
        </w:rPr>
        <w:t xml:space="preserve">  جـــــهاز الإشـــــراف والتقـــويم العلــمي</w:t>
      </w:r>
    </w:p>
    <w:p w:rsidR="003E62E4" w:rsidRDefault="003E62E4" w:rsidP="003E62E4">
      <w:pPr>
        <w:rPr>
          <w:rFonts w:eastAsiaTheme="minorHAnsi"/>
          <w:bCs/>
        </w:rPr>
      </w:pPr>
      <w:r>
        <w:rPr>
          <w:rFonts w:ascii="Simplified Arabic" w:eastAsia="Simplified Arabic" w:hAnsi="Simplified Arabic" w:cs="Simplified Arabic"/>
          <w:bCs/>
          <w:sz w:val="28"/>
          <w:szCs w:val="28"/>
          <w:rtl/>
        </w:rPr>
        <w:t>دائرة ضمان الجودة والاعتماد الأكاديمي</w:t>
      </w:r>
    </w:p>
    <w:p w:rsidR="003E62E4" w:rsidRDefault="003E62E4" w:rsidP="003E62E4">
      <w:pPr>
        <w:rPr>
          <w:rFonts w:eastAsiaTheme="minorHAnsi"/>
          <w:bCs/>
          <w:rtl/>
        </w:rPr>
      </w:pPr>
    </w:p>
    <w:p w:rsidR="003E62E4" w:rsidRDefault="003E62E4" w:rsidP="003E62E4">
      <w:pPr>
        <w:rPr>
          <w:rFonts w:eastAsiaTheme="minorHAnsi"/>
          <w:bCs/>
          <w:rtl/>
        </w:rPr>
      </w:pPr>
    </w:p>
    <w:p w:rsidR="003E62E4" w:rsidRDefault="003E62E4" w:rsidP="003E62E4">
      <w:pPr>
        <w:rPr>
          <w:rFonts w:eastAsiaTheme="minorHAnsi"/>
          <w:bCs/>
        </w:rPr>
      </w:pPr>
    </w:p>
    <w:p w:rsidR="003E62E4" w:rsidRDefault="003E62E4" w:rsidP="003E62E4">
      <w:pPr>
        <w:rPr>
          <w:bCs/>
          <w:rtl/>
        </w:rPr>
      </w:pPr>
    </w:p>
    <w:p w:rsidR="003E62E4" w:rsidRDefault="003E62E4" w:rsidP="003E62E4">
      <w:pPr>
        <w:jc w:val="center"/>
        <w:rPr>
          <w:bCs/>
          <w:sz w:val="56"/>
          <w:szCs w:val="56"/>
        </w:rPr>
      </w:pPr>
      <w:r>
        <w:rPr>
          <w:bCs/>
          <w:sz w:val="56"/>
          <w:szCs w:val="56"/>
          <w:rtl/>
        </w:rPr>
        <w:t>استمارة وصف البرنامج الأكاديمي للكليات والمعاهد</w:t>
      </w:r>
    </w:p>
    <w:p w:rsidR="003E62E4" w:rsidRDefault="003E62E4" w:rsidP="003E62E4">
      <w:pPr>
        <w:jc w:val="center"/>
        <w:rPr>
          <w:bCs/>
        </w:rPr>
      </w:pPr>
      <w:r>
        <w:rPr>
          <w:bCs/>
          <w:sz w:val="56"/>
          <w:szCs w:val="56"/>
          <w:rtl/>
        </w:rPr>
        <w:t>للعام الدراسي</w:t>
      </w:r>
      <w:r>
        <w:rPr>
          <w:bCs/>
          <w:sz w:val="24"/>
          <w:szCs w:val="24"/>
        </w:rPr>
        <w:tab/>
        <w:t>2021- 2022</w:t>
      </w:r>
    </w:p>
    <w:p w:rsidR="003E62E4" w:rsidRDefault="003E62E4" w:rsidP="003E62E4">
      <w:pPr>
        <w:jc w:val="center"/>
        <w:rPr>
          <w:bCs/>
          <w:rtl/>
        </w:rPr>
      </w:pPr>
    </w:p>
    <w:p w:rsidR="003E62E4" w:rsidRDefault="003E62E4" w:rsidP="003E62E4">
      <w:pPr>
        <w:jc w:val="center"/>
        <w:rPr>
          <w:bCs/>
          <w:rtl/>
        </w:rPr>
      </w:pPr>
    </w:p>
    <w:p w:rsidR="003E62E4" w:rsidRDefault="003E62E4" w:rsidP="003E62E4">
      <w:pPr>
        <w:jc w:val="center"/>
        <w:rPr>
          <w:bCs/>
          <w:rtl/>
        </w:rPr>
      </w:pPr>
    </w:p>
    <w:p w:rsidR="003E62E4" w:rsidRDefault="003E62E4" w:rsidP="003E62E4">
      <w:pPr>
        <w:jc w:val="center"/>
        <w:rPr>
          <w:bCs/>
          <w:rtl/>
        </w:rPr>
      </w:pPr>
    </w:p>
    <w:p w:rsidR="003E62E4" w:rsidRDefault="003E62E4" w:rsidP="003E62E4">
      <w:pPr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الجامعة   : بغداد</w:t>
      </w:r>
    </w:p>
    <w:p w:rsidR="003E62E4" w:rsidRDefault="003E62E4" w:rsidP="003E62E4">
      <w:pPr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الكلية /المعهد :  الادارة والاقتصاد</w:t>
      </w:r>
    </w:p>
    <w:p w:rsidR="003E62E4" w:rsidRDefault="003E62E4" w:rsidP="003E62E4">
      <w:pPr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>القسم العلمي   : ادارة الاعمال</w:t>
      </w:r>
    </w:p>
    <w:p w:rsidR="003E62E4" w:rsidRDefault="003E62E4" w:rsidP="003E62E4">
      <w:pPr>
        <w:ind w:hanging="766"/>
        <w:rPr>
          <w:rFonts w:ascii="Traditional Arabic" w:eastAsia="Traditional Arabic" w:hAnsi="Traditional Arabic"/>
          <w:bCs/>
          <w:sz w:val="32"/>
          <w:szCs w:val="32"/>
        </w:rPr>
      </w:pPr>
      <w:r>
        <w:rPr>
          <w:rFonts w:ascii="Traditional Arabic" w:eastAsia="Traditional Arabic" w:hAnsi="Traditional Arabic"/>
          <w:bCs/>
          <w:sz w:val="32"/>
          <w:szCs w:val="32"/>
          <w:rtl/>
        </w:rPr>
        <w:t xml:space="preserve">تاريخ ملء الملف :  </w:t>
      </w:r>
    </w:p>
    <w:p w:rsidR="003E62E4" w:rsidRDefault="003E62E4" w:rsidP="003E62E4">
      <w:pPr>
        <w:ind w:hanging="766"/>
        <w:rPr>
          <w:rFonts w:ascii="Traditional Arabic" w:eastAsia="Traditional Arabic" w:hAnsi="Traditional Arabic"/>
          <w:bCs/>
          <w:sz w:val="32"/>
          <w:szCs w:val="32"/>
          <w:rtl/>
        </w:rPr>
      </w:pPr>
    </w:p>
    <w:p w:rsidR="003E62E4" w:rsidRDefault="003E62E4" w:rsidP="003E62E4">
      <w:pPr>
        <w:ind w:hanging="766"/>
        <w:rPr>
          <w:rFonts w:ascii="Traditional Arabic" w:eastAsia="Traditional Arabic" w:hAnsi="Traditional Arabic"/>
          <w:bCs/>
          <w:sz w:val="32"/>
          <w:szCs w:val="32"/>
          <w:rtl/>
        </w:rPr>
      </w:pPr>
    </w:p>
    <w:p w:rsidR="003E62E4" w:rsidRDefault="003E62E4" w:rsidP="003E62E4">
      <w:pPr>
        <w:ind w:hanging="766"/>
        <w:rPr>
          <w:rFonts w:ascii="Traditional Arabic" w:eastAsia="Traditional Arabic" w:hAnsi="Traditional Arabic"/>
          <w:bCs/>
          <w:sz w:val="32"/>
          <w:szCs w:val="32"/>
          <w:rtl/>
        </w:rPr>
      </w:pPr>
    </w:p>
    <w:p w:rsidR="003E62E4" w:rsidRDefault="003E62E4" w:rsidP="003E62E4">
      <w:pPr>
        <w:ind w:hanging="766"/>
        <w:rPr>
          <w:rFonts w:ascii="Traditional Arabic" w:eastAsia="Traditional Arabic" w:hAnsi="Traditional Arabic"/>
          <w:bCs/>
          <w:sz w:val="32"/>
          <w:szCs w:val="32"/>
          <w:rtl/>
        </w:rPr>
      </w:pPr>
    </w:p>
    <w:p w:rsidR="003E62E4" w:rsidRDefault="003E62E4" w:rsidP="003E62E4">
      <w:pPr>
        <w:tabs>
          <w:tab w:val="left" w:pos="306"/>
        </w:tabs>
        <w:ind w:right="-1080" w:hanging="874"/>
        <w:rPr>
          <w:rFonts w:ascii="Traditional Arabic" w:eastAsia="Traditional Arabic" w:hAnsi="Traditional Arabic"/>
          <w:bCs/>
          <w:sz w:val="28"/>
          <w:szCs w:val="28"/>
          <w:rtl/>
        </w:rPr>
      </w:pPr>
    </w:p>
    <w:tbl>
      <w:tblPr>
        <w:bidiVisual/>
        <w:tblW w:w="9750" w:type="dxa"/>
        <w:tblLayout w:type="fixed"/>
        <w:tblLook w:val="04A0"/>
      </w:tblPr>
      <w:tblGrid>
        <w:gridCol w:w="4875"/>
        <w:gridCol w:w="4875"/>
      </w:tblGrid>
      <w:tr w:rsidR="003E62E4" w:rsidTr="003E62E4">
        <w:tc>
          <w:tcPr>
            <w:tcW w:w="4875" w:type="dxa"/>
            <w:hideMark/>
          </w:tcPr>
          <w:p w:rsidR="003E62E4" w:rsidRDefault="003E62E4">
            <w:pPr>
              <w:spacing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4875" w:type="dxa"/>
            <w:hideMark/>
          </w:tcPr>
          <w:p w:rsidR="003E62E4" w:rsidRDefault="003E62E4">
            <w:pPr>
              <w:spacing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التوقيع :</w:t>
            </w:r>
          </w:p>
        </w:tc>
      </w:tr>
      <w:tr w:rsidR="003E62E4" w:rsidTr="003E62E4">
        <w:tc>
          <w:tcPr>
            <w:tcW w:w="4875" w:type="dxa"/>
            <w:hideMark/>
          </w:tcPr>
          <w:p w:rsidR="003E62E4" w:rsidRDefault="003E62E4">
            <w:pPr>
              <w:spacing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اسم رئيس القسم : ا.م.د فراس محمد اسماعيل</w:t>
            </w:r>
          </w:p>
        </w:tc>
        <w:tc>
          <w:tcPr>
            <w:tcW w:w="4875" w:type="dxa"/>
            <w:hideMark/>
          </w:tcPr>
          <w:p w:rsidR="003E62E4" w:rsidRDefault="003E62E4">
            <w:pPr>
              <w:spacing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 xml:space="preserve">اسم المعاون العلمي : مصطفى منير </w:t>
            </w:r>
          </w:p>
        </w:tc>
      </w:tr>
      <w:tr w:rsidR="003E62E4" w:rsidTr="003E62E4">
        <w:tc>
          <w:tcPr>
            <w:tcW w:w="4875" w:type="dxa"/>
            <w:hideMark/>
          </w:tcPr>
          <w:p w:rsidR="003E62E4" w:rsidRDefault="003E62E4">
            <w:pPr>
              <w:spacing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التاريخ :</w:t>
            </w:r>
          </w:p>
        </w:tc>
        <w:tc>
          <w:tcPr>
            <w:tcW w:w="4875" w:type="dxa"/>
          </w:tcPr>
          <w:p w:rsidR="003E62E4" w:rsidRDefault="003E62E4" w:rsidP="003E62E4">
            <w:pPr>
              <w:spacing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eastAsia="Traditional Arabic" w:hAnsiTheme="majorBidi" w:cstheme="majorBidi" w:hint="cs"/>
                <w:bCs/>
                <w:sz w:val="24"/>
                <w:szCs w:val="24"/>
                <w:rtl/>
              </w:rPr>
              <w:t>التاريخ :</w:t>
            </w:r>
          </w:p>
          <w:p w:rsidR="003E62E4" w:rsidRDefault="003E62E4">
            <w:pPr>
              <w:spacing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</w:pPr>
          </w:p>
          <w:p w:rsidR="003E62E4" w:rsidRDefault="003E62E4">
            <w:pPr>
              <w:spacing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</w:pPr>
          </w:p>
          <w:p w:rsidR="003E62E4" w:rsidRDefault="003E62E4">
            <w:pPr>
              <w:spacing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</w:pPr>
          </w:p>
          <w:p w:rsidR="003E62E4" w:rsidRDefault="003E62E4">
            <w:pPr>
              <w:spacing w:line="276" w:lineRule="auto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</w:tc>
      </w:tr>
    </w:tbl>
    <w:p w:rsidR="003E62E4" w:rsidRDefault="003E62E4" w:rsidP="003E62E4">
      <w:pPr>
        <w:rPr>
          <w:rFonts w:asciiTheme="majorBidi" w:eastAsia="Traditional Arabic" w:hAnsiTheme="majorBidi" w:cstheme="majorBidi"/>
          <w:bCs/>
          <w:sz w:val="24"/>
          <w:szCs w:val="24"/>
          <w:rtl/>
        </w:rPr>
      </w:pPr>
    </w:p>
    <w:p w:rsidR="003E62E4" w:rsidRDefault="003E62E4" w:rsidP="003E62E4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 xml:space="preserve">دقـق الملف من قبل </w:t>
      </w:r>
    </w:p>
    <w:p w:rsidR="003E62E4" w:rsidRDefault="003E62E4" w:rsidP="003E62E4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شعبة ضمان الجودة والأداء الجامعي</w:t>
      </w:r>
    </w:p>
    <w:p w:rsidR="003E62E4" w:rsidRDefault="003E62E4" w:rsidP="003E62E4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اسم مدير شعبة ضمان الجودة والأداء الجامعي:</w:t>
      </w:r>
    </w:p>
    <w:p w:rsidR="003E62E4" w:rsidRDefault="003E62E4" w:rsidP="003E62E4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التاريخ     /     /</w:t>
      </w:r>
    </w:p>
    <w:p w:rsidR="003E62E4" w:rsidRDefault="003E62E4" w:rsidP="003E62E4">
      <w:pPr>
        <w:tabs>
          <w:tab w:val="left" w:pos="7275"/>
        </w:tabs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التوقيع</w:t>
      </w: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ab/>
      </w:r>
    </w:p>
    <w:p w:rsidR="003E62E4" w:rsidRDefault="003E62E4" w:rsidP="003E62E4">
      <w:pPr>
        <w:tabs>
          <w:tab w:val="left" w:pos="7275"/>
        </w:tabs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 w:hint="cs"/>
          <w:bCs/>
          <w:sz w:val="24"/>
          <w:szCs w:val="24"/>
          <w:rtl/>
        </w:rPr>
        <w:t>مصادقة السيد العميد</w:t>
      </w:r>
    </w:p>
    <w:p w:rsidR="00E7040C" w:rsidRPr="003E62E4" w:rsidRDefault="00E7040C" w:rsidP="00E7040C">
      <w:pPr>
        <w:rPr>
          <w:sz w:val="16"/>
          <w:szCs w:val="16"/>
        </w:rPr>
      </w:pPr>
    </w:p>
    <w:p w:rsidR="00E7040C" w:rsidRDefault="00E7040C" w:rsidP="00E7040C"/>
    <w:p w:rsidR="00E7040C" w:rsidRPr="003E62E4" w:rsidRDefault="003E62E4" w:rsidP="003E62E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E62E4">
        <w:rPr>
          <w:rFonts w:asciiTheme="majorBidi" w:hAnsiTheme="majorBidi" w:cstheme="majorBidi"/>
          <w:b/>
          <w:bCs/>
          <w:sz w:val="36"/>
          <w:szCs w:val="36"/>
          <w:rtl/>
        </w:rPr>
        <w:t>نموذج وصف المقرر</w:t>
      </w:r>
    </w:p>
    <w:p w:rsidR="00E7040C" w:rsidRPr="003E62E4" w:rsidRDefault="00E7040C" w:rsidP="003E62E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D25BF" w:rsidRPr="003E62E4" w:rsidRDefault="006D25BF" w:rsidP="003E62E4">
      <w:pPr>
        <w:autoSpaceDE w:val="0"/>
        <w:autoSpaceDN w:val="0"/>
        <w:adjustRightInd w:val="0"/>
        <w:spacing w:before="240" w:after="20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3E62E4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64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648"/>
      </w:tblGrid>
      <w:tr w:rsidR="006D25BF" w:rsidRPr="00DB131F" w:rsidTr="003E62E4">
        <w:trPr>
          <w:trHeight w:val="864"/>
        </w:trPr>
        <w:tc>
          <w:tcPr>
            <w:tcW w:w="9648" w:type="dxa"/>
            <w:shd w:val="clear" w:color="auto" w:fill="auto"/>
          </w:tcPr>
          <w:p w:rsidR="006D25BF" w:rsidRPr="00DB131F" w:rsidRDefault="007778AD" w:rsidP="00A35781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line="276" w:lineRule="auto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>السعي الى تقديم اطار فكري وتطبيقي لابرز المحاور الفكرية والممارسات العملية لادارة الاعمال الدولية التي تزود الطالب بالاطار المعرفي المتكامل المطلوب لتط</w:t>
            </w:r>
            <w:r w:rsidR="00EA76EE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>ير مقدراته الجوهرية وتعزيز راسماله الفكري باستخدام مهارات التحليل والاستنباط العملي المبني على الحالات الدراسية وبالشكل الذي تمكنه من مواكبة التطورات الدولية في بيئة ادارة الاعمال وتنافسيتها.</w:t>
            </w:r>
          </w:p>
        </w:tc>
      </w:tr>
    </w:tbl>
    <w:p w:rsidR="006D25BF" w:rsidRPr="007778AD" w:rsidRDefault="006D25BF" w:rsidP="00A35781">
      <w:pPr>
        <w:shd w:val="clear" w:color="auto" w:fill="FFFFFF" w:themeFill="background1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"/>
          <w:szCs w:val="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3780"/>
        <w:gridCol w:w="5940"/>
      </w:tblGrid>
      <w:tr w:rsidR="006D25BF" w:rsidRPr="003A678A" w:rsidTr="003E62E4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D25BF" w:rsidRPr="001337C8" w:rsidRDefault="006D25BF" w:rsidP="00A35781">
            <w:pPr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1337C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D25BF" w:rsidRPr="003A678A" w:rsidRDefault="006D25BF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3A678A">
              <w:rPr>
                <w:rFonts w:cs="Times New Roman" w:hint="cs"/>
                <w:sz w:val="28"/>
                <w:szCs w:val="28"/>
                <w:rtl/>
                <w:lang w:bidi="ar-IQ"/>
              </w:rPr>
              <w:t>جامعة بغداد/ كلية الإدارة والاقتصاد</w:t>
            </w:r>
          </w:p>
        </w:tc>
      </w:tr>
      <w:tr w:rsidR="006D25BF" w:rsidRPr="003A678A" w:rsidTr="003E62E4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6D25BF" w:rsidRPr="001337C8" w:rsidRDefault="006D25BF" w:rsidP="00A3578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1337C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D25BF" w:rsidRPr="003A678A" w:rsidRDefault="006D25BF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3A678A">
              <w:rPr>
                <w:rFonts w:cs="Times New Roman" w:hint="cs"/>
                <w:sz w:val="28"/>
                <w:szCs w:val="28"/>
                <w:rtl/>
                <w:lang w:bidi="ar-IQ"/>
              </w:rPr>
              <w:t>إدارة الأعمال</w:t>
            </w:r>
          </w:p>
        </w:tc>
      </w:tr>
      <w:tr w:rsidR="006D25BF" w:rsidRPr="003A678A" w:rsidTr="003E62E4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D25BF" w:rsidRPr="001337C8" w:rsidRDefault="006D25BF" w:rsidP="00A3578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1337C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D25BF" w:rsidRPr="003A678A" w:rsidRDefault="007778AD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إدارة الأعمال الدولية </w:t>
            </w:r>
          </w:p>
        </w:tc>
      </w:tr>
      <w:tr w:rsidR="006D25BF" w:rsidRPr="003A678A" w:rsidTr="003E62E4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6D25BF" w:rsidRPr="001337C8" w:rsidRDefault="006D25BF" w:rsidP="00A3578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1337C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D25BF" w:rsidRPr="003A678A" w:rsidRDefault="007778AD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المرحلة الثالثة -</w:t>
            </w:r>
            <w:r w:rsidR="006D25BF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إدارة أعمال</w:t>
            </w:r>
          </w:p>
        </w:tc>
      </w:tr>
      <w:tr w:rsidR="006D25BF" w:rsidRPr="003A678A" w:rsidTr="003E62E4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D25BF" w:rsidRPr="001337C8" w:rsidRDefault="006D25BF" w:rsidP="00A3578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1337C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D25BF" w:rsidRPr="003A678A" w:rsidRDefault="009B354C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قاعات دراسية الكترونية</w:t>
            </w:r>
          </w:p>
        </w:tc>
      </w:tr>
      <w:tr w:rsidR="006D25BF" w:rsidRPr="003A678A" w:rsidTr="003E62E4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6D25BF" w:rsidRPr="001337C8" w:rsidRDefault="006D25BF" w:rsidP="00A3578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1337C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D25BF" w:rsidRPr="003A678A" w:rsidRDefault="00A35781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الكورس لثاني</w:t>
            </w:r>
          </w:p>
        </w:tc>
      </w:tr>
      <w:tr w:rsidR="006D25BF" w:rsidRPr="003A678A" w:rsidTr="003E62E4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D25BF" w:rsidRPr="001337C8" w:rsidRDefault="006D25BF" w:rsidP="00A3578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1337C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1337C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D25BF" w:rsidRPr="003A678A" w:rsidRDefault="006D25BF" w:rsidP="003E62E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="007778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) ساعات أسبوعياً </w:t>
            </w:r>
            <w:r w:rsidR="003E62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D25BF" w:rsidRPr="003A678A" w:rsidTr="003E62E4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6D25BF" w:rsidRPr="001337C8" w:rsidRDefault="006D25BF" w:rsidP="00A35781">
            <w:pPr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1337C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6D25BF" w:rsidRPr="003A678A" w:rsidRDefault="007778AD" w:rsidP="003E62E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1</w:t>
            </w:r>
            <w:r w:rsidR="00A35781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6D25BF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</w:t>
            </w:r>
            <w:r w:rsidR="003E62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  <w:r w:rsidR="006D25BF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20</w:t>
            </w:r>
            <w:r w:rsidR="003E62E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22</w:t>
            </w:r>
          </w:p>
        </w:tc>
      </w:tr>
      <w:tr w:rsidR="006D25BF" w:rsidRPr="003A678A" w:rsidTr="003E62E4">
        <w:trPr>
          <w:trHeight w:val="239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6D25BF" w:rsidRPr="001337C8" w:rsidRDefault="006D25BF" w:rsidP="00A35781">
            <w:pPr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240" w:after="240" w:line="276" w:lineRule="auto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1337C8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  <w:p w:rsidR="006D25BF" w:rsidRDefault="006D25BF" w:rsidP="00A35781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240" w:line="276" w:lineRule="auto"/>
              <w:ind w:left="36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D25BF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يهدف هذا المقرر إلى تزويد الطلبة بنظرة عامة ومعمقة </w:t>
            </w:r>
            <w:r w:rsidR="00A8764F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حول المرتكزات الفكرية </w:t>
            </w:r>
            <w:r w:rsidR="00A8764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لإدارة الاعمال الدولية وابرز ننماذجها المتداولة والمنظمات والاتفاقيات ذات العلاقة بها ، فضلا عن الثقافة والمعرفة وانواعها وشخصيات المفاوضين وابرز الاستراتيجيات والتكتيكات التفاوضية فيها ، وخارطة اصحاب المصالح واستراتيجيات الدخول للاسواق الدولية </w:t>
            </w:r>
            <w:r w:rsidR="00FE1E8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، كما يهدف المقرر ايضا الى تعريف القارئ ب</w:t>
            </w:r>
            <w:r w:rsidR="00A8764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أنشطة او عمليات ادارة الاعمال الدولية من منظور عالمي كإدارة الموارد البشرية والتسويق والعمليات والادارة المالية</w:t>
            </w:r>
            <w:r w:rsidR="00A8764F" w:rsidRPr="00F5330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9016"/>
            </w:tblGrid>
            <w:tr w:rsidR="00A05E11" w:rsidRPr="00125874" w:rsidTr="009F7EB0">
              <w:trPr>
                <w:trHeight w:val="516"/>
              </w:trPr>
              <w:tc>
                <w:tcPr>
                  <w:tcW w:w="9016" w:type="dxa"/>
                </w:tcPr>
                <w:p w:rsidR="00A05E11" w:rsidRPr="00125874" w:rsidRDefault="00A05E11" w:rsidP="009F7EB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2587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9- مخرجات المقرر وطرائق التعليم والتعلم والتقييم</w:t>
                  </w:r>
                </w:p>
              </w:tc>
            </w:tr>
            <w:tr w:rsidR="00A05E11" w:rsidRPr="00125874" w:rsidTr="009F7EB0">
              <w:trPr>
                <w:trHeight w:val="915"/>
              </w:trPr>
              <w:tc>
                <w:tcPr>
                  <w:tcW w:w="9016" w:type="dxa"/>
                  <w:vAlign w:val="center"/>
                </w:tcPr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43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25874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أ- المعرفة والفهم </w:t>
                  </w:r>
                </w:p>
                <w:p w:rsidR="00A05E11" w:rsidRDefault="00A05E11" w:rsidP="00A05E11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معرفة مفهوم </w:t>
                  </w: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الادارة الدولية</w:t>
                  </w:r>
                </w:p>
                <w:p w:rsidR="00A05E11" w:rsidRDefault="00A05E11" w:rsidP="009F7EB0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معرفة نماذج </w:t>
                  </w: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الادارة الدولية</w:t>
                  </w:r>
                </w:p>
                <w:p w:rsidR="00A05E11" w:rsidRDefault="00A05E11" w:rsidP="009F7EB0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 xml:space="preserve">معرفة تطبيقات </w:t>
                  </w: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الادارة الدولية</w:t>
                  </w: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معرفة استراتيجية </w:t>
                  </w: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الادارة الدولية</w:t>
                  </w: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</w:tc>
            </w:tr>
            <w:tr w:rsidR="00A05E11" w:rsidRPr="00125874" w:rsidTr="009F7EB0">
              <w:trPr>
                <w:trHeight w:val="972"/>
              </w:trPr>
              <w:tc>
                <w:tcPr>
                  <w:tcW w:w="9016" w:type="dxa"/>
                  <w:vAlign w:val="center"/>
                </w:tcPr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25874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 xml:space="preserve">ب -  المهارات الخاصة بالموضوع </w:t>
                  </w: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الاطلاع على بعض المصادر في ادارة الاعمال الالكترونية ودراسة مواضيع سابقة (حالات دراسية)</w:t>
                  </w: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A05E11" w:rsidRPr="00125874" w:rsidTr="009F7EB0">
              <w:trPr>
                <w:trHeight w:val="972"/>
              </w:trPr>
              <w:tc>
                <w:tcPr>
                  <w:tcW w:w="9016" w:type="dxa"/>
                  <w:vAlign w:val="center"/>
                </w:tcPr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25874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ج- مهارات التفكير</w:t>
                  </w: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مهارات التفكير الخاصة </w:t>
                  </w: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الادارة الدولية </w:t>
                  </w: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وكيفية تطبيقها</w:t>
                  </w: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612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A05E11" w:rsidRPr="00125874" w:rsidTr="009F7EB0">
              <w:trPr>
                <w:trHeight w:val="485"/>
              </w:trPr>
              <w:tc>
                <w:tcPr>
                  <w:tcW w:w="9016" w:type="dxa"/>
                  <w:vAlign w:val="center"/>
                </w:tcPr>
                <w:p w:rsidR="00A05E11" w:rsidRPr="00125874" w:rsidRDefault="00A05E11" w:rsidP="009F7EB0">
                  <w:pPr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125874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A05E11" w:rsidRPr="00125874" w:rsidTr="009F7EB0">
              <w:trPr>
                <w:trHeight w:val="1001"/>
              </w:trPr>
              <w:tc>
                <w:tcPr>
                  <w:tcW w:w="9016" w:type="dxa"/>
                  <w:vAlign w:val="center"/>
                </w:tcPr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عرض المحاضرة من قبل استا</w:t>
                  </w:r>
                  <w:r>
                    <w:rPr>
                      <w:rFonts w:ascii="Cambria" w:hAnsi="Cambria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ذة المادة وفسح المجال  للطلبة بالمشاركة بالاسئلة والاجابة على الاسئلة التي تطرح عليه</w:t>
                  </w: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A05E11" w:rsidRPr="00125874" w:rsidTr="009F7EB0">
              <w:trPr>
                <w:trHeight w:val="567"/>
              </w:trPr>
              <w:tc>
                <w:tcPr>
                  <w:tcW w:w="9016" w:type="dxa"/>
                  <w:vAlign w:val="center"/>
                </w:tcPr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125874"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A05E11" w:rsidRPr="00125874" w:rsidTr="009F7EB0">
              <w:trPr>
                <w:trHeight w:val="1539"/>
              </w:trPr>
              <w:tc>
                <w:tcPr>
                  <w:tcW w:w="9016" w:type="dxa"/>
                </w:tcPr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1080"/>
                    <w:rPr>
                      <w:rFonts w:ascii="Cambria" w:hAnsi="Cambria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المشاركات اليومية</w:t>
                  </w: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الامتحانات الشهرية</w:t>
                  </w: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الالتزام بالحضور</w:t>
                  </w:r>
                </w:p>
                <w:p w:rsidR="00A05E11" w:rsidRPr="00125874" w:rsidRDefault="00A05E11" w:rsidP="00A05E11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ab/>
                  </w:r>
                  <w:r w:rsidRPr="001258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A05E11" w:rsidRPr="00125874" w:rsidRDefault="00A05E11" w:rsidP="00A05E11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</w:p>
                <w:p w:rsidR="00A05E11" w:rsidRPr="00125874" w:rsidRDefault="00A05E11" w:rsidP="00A05E11">
                  <w:pPr>
                    <w:tabs>
                      <w:tab w:val="left" w:pos="2530"/>
                    </w:tabs>
                    <w:autoSpaceDE w:val="0"/>
                    <w:autoSpaceDN w:val="0"/>
                    <w:adjustRightInd w:val="0"/>
                    <w:ind w:left="1080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زرع الثقة بالنفس لدى الطالب </w:t>
                  </w:r>
                  <w:r w:rsidRPr="00285E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وروح المبادرة والمساهمة في تقديم المساعدة للآخرين</w:t>
                  </w: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A05E11" w:rsidRPr="00125874" w:rsidRDefault="00A05E11" w:rsidP="009F7EB0">
                  <w:pPr>
                    <w:autoSpaceDE w:val="0"/>
                    <w:autoSpaceDN w:val="0"/>
                    <w:adjustRightInd w:val="0"/>
                    <w:ind w:left="108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FE1E8E" w:rsidRPr="00A05E11" w:rsidRDefault="00FE1E8E" w:rsidP="00A35781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240" w:line="276" w:lineRule="auto"/>
              <w:ind w:left="360"/>
              <w:jc w:val="both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</w:tbl>
    <w:p w:rsidR="006D25BF" w:rsidRPr="0020555A" w:rsidRDefault="006D25BF" w:rsidP="00A35781">
      <w:pPr>
        <w:shd w:val="clear" w:color="auto" w:fill="FFFFFF" w:themeFill="background1"/>
        <w:spacing w:before="240" w:after="240"/>
        <w:rPr>
          <w:vanish/>
        </w:rPr>
      </w:pPr>
    </w:p>
    <w:tbl>
      <w:tblPr>
        <w:tblpPr w:leftFromText="180" w:rightFromText="180" w:vertAnchor="text" w:horzAnchor="margin" w:tblpXSpec="center" w:tblpY="-56"/>
        <w:bidiVisual/>
        <w:tblW w:w="1084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44"/>
        <w:gridCol w:w="1109"/>
        <w:gridCol w:w="3260"/>
        <w:gridCol w:w="2559"/>
        <w:gridCol w:w="1411"/>
        <w:gridCol w:w="1559"/>
      </w:tblGrid>
      <w:tr w:rsidR="006D25BF" w:rsidRPr="00DB131F" w:rsidTr="003E62E4">
        <w:trPr>
          <w:trHeight w:val="538"/>
        </w:trPr>
        <w:tc>
          <w:tcPr>
            <w:tcW w:w="10842" w:type="dxa"/>
            <w:gridSpan w:val="6"/>
            <w:shd w:val="clear" w:color="auto" w:fill="auto"/>
            <w:vAlign w:val="center"/>
          </w:tcPr>
          <w:p w:rsidR="006D25BF" w:rsidRPr="00944FD3" w:rsidRDefault="006D25BF" w:rsidP="00A3578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44FD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6D25BF" w:rsidRPr="00944FD3" w:rsidTr="003E62E4">
        <w:trPr>
          <w:trHeight w:val="907"/>
        </w:trPr>
        <w:tc>
          <w:tcPr>
            <w:tcW w:w="944" w:type="dxa"/>
            <w:shd w:val="clear" w:color="auto" w:fill="auto"/>
            <w:vAlign w:val="center"/>
          </w:tcPr>
          <w:p w:rsidR="006D25BF" w:rsidRPr="00944FD3" w:rsidRDefault="006D25BF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44FD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D25BF" w:rsidRPr="00944FD3" w:rsidRDefault="006D25BF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44FD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25BF" w:rsidRPr="00944FD3" w:rsidRDefault="006D25BF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44FD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D25BF" w:rsidRPr="00AF30DE" w:rsidRDefault="006D25BF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F30DE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اسم الوحدة / المساق أو </w:t>
            </w:r>
            <w:r w:rsidRPr="00AF30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</w:t>
            </w:r>
            <w:r w:rsidRPr="00AF30DE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لموضوع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D25BF" w:rsidRPr="00AF30DE" w:rsidRDefault="006D25BF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F30DE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طريقةالتعليم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25BF" w:rsidRPr="00944FD3" w:rsidRDefault="006D25BF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44FD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6D25BF" w:rsidRPr="00D70DBA" w:rsidTr="003E62E4">
        <w:trPr>
          <w:trHeight w:val="39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6D25BF" w:rsidRPr="00D70DBA" w:rsidRDefault="006D25BF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D25BF" w:rsidRPr="00D70DBA" w:rsidRDefault="00FE1E8E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D25BF" w:rsidRPr="00D70DBA" w:rsidRDefault="00E039A3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تحليل مفاهيم </w:t>
            </w:r>
            <w:r w:rsidR="00534BDB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إدارة الأعمال الدولية ، والادارة العامة الدولية وشركات الصنف العالمي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D25BF" w:rsidRPr="00D70DBA" w:rsidRDefault="00534BD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المظلة الفكرية والمفاهيمية لإدارة الاعمال الدولية 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6D25BF" w:rsidRPr="00D70DBA" w:rsidRDefault="006D25BF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 w:rsidR="00534BDB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6D25BF" w:rsidRPr="00D70DBA" w:rsidRDefault="006D25BF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534BDB" w:rsidRPr="00D70DBA" w:rsidTr="003E62E4">
        <w:trPr>
          <w:trHeight w:val="339"/>
        </w:trPr>
        <w:tc>
          <w:tcPr>
            <w:tcW w:w="944" w:type="dxa"/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بيان اهمية إدارة الأعمال الدوليةوابرز الاهداف التي تطمح لتحقيقها 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أهمية وأهداف إدارة الأعمال الدولية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534BDB" w:rsidRPr="00D70DBA" w:rsidTr="003E62E4">
        <w:trPr>
          <w:trHeight w:val="320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التعرف على خصائص إدارة الأعمال الدولية وابرز القيود التي تواجهها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خصائص إدارة الأعمال الدولية 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534BDB" w:rsidRPr="00D70DBA" w:rsidTr="003E62E4">
        <w:trPr>
          <w:trHeight w:val="331"/>
        </w:trPr>
        <w:tc>
          <w:tcPr>
            <w:tcW w:w="944" w:type="dxa"/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التعرف على ابرز التحديات الداخلية والخارجية لادارة الاعمال الدولية 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تحديات إدارة الأعمال الدولية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4BDB" w:rsidRPr="00D70DBA" w:rsidRDefault="00534BD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B12962" w:rsidRPr="00D70DBA" w:rsidTr="003E62E4">
        <w:trPr>
          <w:trHeight w:val="331"/>
        </w:trPr>
        <w:tc>
          <w:tcPr>
            <w:tcW w:w="944" w:type="dxa"/>
            <w:shd w:val="clear" w:color="auto" w:fill="auto"/>
            <w:vAlign w:val="center"/>
          </w:tcPr>
          <w:p w:rsidR="00B12962" w:rsidRPr="00D70DBA" w:rsidRDefault="00B12962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B12962" w:rsidRPr="00D70DBA" w:rsidRDefault="00B12962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2962" w:rsidRPr="00D70DBA" w:rsidRDefault="00B12962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ادراك درجة عمق الشركة في مزاولة نشاط الاعمال الدولية ، والادوار التي تلعبها الفروع المحلية في الشركات عابرة الحدود 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12962" w:rsidRPr="00D70DBA" w:rsidRDefault="00B12962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مستويات شركات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إدارة الأعمال الدولية ونماذجها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12962" w:rsidRPr="00D70DBA" w:rsidRDefault="00B12962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2962" w:rsidRPr="00D70DBA" w:rsidRDefault="00B12962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B12962" w:rsidRPr="00D70DBA" w:rsidTr="003E62E4">
        <w:trPr>
          <w:trHeight w:val="340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B12962" w:rsidRPr="00D70DBA" w:rsidRDefault="00B12962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6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B12962" w:rsidRPr="00D70DBA" w:rsidRDefault="00B12962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5819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B12962" w:rsidRPr="00D70DBA" w:rsidRDefault="00B12962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>الامتحان 1 للفصل الأول</w:t>
            </w:r>
          </w:p>
        </w:tc>
        <w:tc>
          <w:tcPr>
            <w:tcW w:w="2970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B12962" w:rsidRPr="00B12962" w:rsidRDefault="00B12962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4"/>
                <w:szCs w:val="34"/>
                <w:lang w:bidi="ar-IQ"/>
              </w:rPr>
            </w:pP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>اختبار</w:t>
            </w:r>
          </w:p>
        </w:tc>
      </w:tr>
      <w:tr w:rsidR="00B12962" w:rsidRPr="00D70DBA" w:rsidTr="003E62E4">
        <w:trPr>
          <w:trHeight w:val="323"/>
        </w:trPr>
        <w:tc>
          <w:tcPr>
            <w:tcW w:w="944" w:type="dxa"/>
            <w:shd w:val="clear" w:color="auto" w:fill="auto"/>
            <w:vAlign w:val="center"/>
          </w:tcPr>
          <w:p w:rsidR="00B12962" w:rsidRPr="00D70DBA" w:rsidRDefault="00B12962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7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B12962" w:rsidRPr="00D70DBA" w:rsidRDefault="00B12962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2962" w:rsidRPr="00D70DBA" w:rsidRDefault="00366088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منظمة التجارة العالمية ودورها </w:t>
            </w:r>
            <w:r w:rsidR="00B12962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>بقضايا إدارة الاعمال الدولية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وابرز خصائصها 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12962" w:rsidRPr="00D70DBA" w:rsidRDefault="00B12962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المنظمات الدولية وإدارة الاعمال الدولية </w:t>
            </w:r>
            <w:r w:rsidR="00366088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-  منظمة التجارة العالمية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12962" w:rsidRPr="00D70DBA" w:rsidRDefault="00B12962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2962" w:rsidRPr="00D70DBA" w:rsidRDefault="00B12962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366088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صندوق النقد الدولي ودوره بقضايا إدارة الاعمال الدولية وابرز خصائصه 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>المنظمات الدولية وإدارة الاعمال الدولية -   صندوق النقد الدولي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366088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9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البنك الدولي ودوره بقضايا إدارة الاعمال الدولية وابرز خصائصه 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المنظمات الدولية وإدارة الاعمال الدولية -   البنك  الدولي  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366088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>استعراض ابرز الاتفاقيات الدولية والاقليمية ذات العلاقة بادارة الاعمال الدولية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الاتفاقيات الدولية والاقليمية 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366088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11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5819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66088" w:rsidRPr="00D70DBA" w:rsidRDefault="00366088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 xml:space="preserve">الامتحان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>2</w:t>
            </w: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 xml:space="preserve"> للفصل الأول</w:t>
            </w:r>
          </w:p>
        </w:tc>
        <w:tc>
          <w:tcPr>
            <w:tcW w:w="2970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366088" w:rsidRPr="00B12962" w:rsidRDefault="00366088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4"/>
                <w:szCs w:val="34"/>
                <w:lang w:bidi="ar-IQ"/>
              </w:rPr>
            </w:pP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>اختبار</w:t>
            </w:r>
          </w:p>
        </w:tc>
      </w:tr>
      <w:tr w:rsidR="00AF30DE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بيان ماهية الثقافة التنظيمية والشركات متعددة الثقافات وإدارة الصدمة الثقافية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AF30DE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الثقافة والشركات متعددة الثقافات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AF30DE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الدور الذي تلعبه الثقافة في شركات الاعمال الدولية وانواعها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AF30DE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الدور الذي تلعبه الثقافة في شركات الاعمال الدولية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AF30DE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AF30DE" w:rsidRDefault="00C67022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فهم الخطوات الاساسية لادارة الثقافة في ضوء انموذج هوفستلد في شركات الاعمال الدولية </w:t>
            </w:r>
            <w:r w:rsidR="00DB0BF7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وابرز الابعاد التي يحتويها الانموذج </w:t>
            </w:r>
          </w:p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C67022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C67022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أنموذج هوفستلد لإدارة الثقافة التنظيمية في شركات الاعمال الدولية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AF30DE" w:rsidRPr="00D70DBA" w:rsidRDefault="00AF30DE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DB0BF7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lastRenderedPageBreak/>
              <w:t>15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فهم الخطوات الاساسية لادارة الثقافة في ضوء انموذج لويس في شركات الاعمال الدولية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C67022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أنموذج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لويس</w:t>
            </w:r>
            <w:r w:rsidRPr="00C67022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لإدارة الثقافة التنظيمية في شركات الاعمال الدولية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DB0BF7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5819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 xml:space="preserve">الامتحان </w:t>
            </w:r>
            <w:r w:rsidRPr="00DB0BF7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>3</w:t>
            </w: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 xml:space="preserve"> للفصل الأول</w:t>
            </w:r>
          </w:p>
        </w:tc>
        <w:tc>
          <w:tcPr>
            <w:tcW w:w="2970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DB0BF7" w:rsidRPr="00B12962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4"/>
                <w:szCs w:val="34"/>
                <w:lang w:bidi="ar-IQ"/>
              </w:rPr>
            </w:pP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>اختبار</w:t>
            </w:r>
          </w:p>
        </w:tc>
      </w:tr>
      <w:tr w:rsidR="00DB0BF7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التعرف على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مفهوم التفاوض وانواعه وخصائصه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التفاوض في شركات الاعمال الدولية 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DB0BF7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بيان ابرز الخصائص والسمات ذات العلاقة بالشخصيات التفاوضية في شركات الاعمال الدولية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الشخصيات التفاوضية في شركات الاعمال الدولية 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DB0BF7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بيان ابرز انواع الاستراتيجيات التفاوضية الزمانية والمكانية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في شركات الاعمال الدولية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أستراتيجيات التفاوض في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شركات الاعمال الدولية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DB0BF7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>ابراز التكتيكات التفاوضية التي تعمل بها  شركات الاعمال الدولية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التكتيكات التفاوضية في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شركات الاعمال الدولية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DB0BF7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21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5819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DB0BF7" w:rsidRPr="00D70DBA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 xml:space="preserve">الامتحان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>1</w:t>
            </w: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 xml:space="preserve"> للفصل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 xml:space="preserve">الثاني </w:t>
            </w:r>
          </w:p>
        </w:tc>
        <w:tc>
          <w:tcPr>
            <w:tcW w:w="2970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DB0BF7" w:rsidRPr="00B12962" w:rsidRDefault="00DB0BF7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4"/>
                <w:szCs w:val="34"/>
                <w:lang w:bidi="ar-IQ"/>
              </w:rPr>
            </w:pP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>اختبار</w:t>
            </w:r>
          </w:p>
        </w:tc>
      </w:tr>
      <w:tr w:rsidR="00C101FB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بيان اهم المصطلحات الاساسية في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استراتيجيات الاعمال الدولية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واتجاهات الفعل التنافسي  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استراتيجيات الاعمال الدولية 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C101FB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23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توضيح المفهوم وبيان اختلافه عن المصطلح العام مع بيان ابرز خصائصه وانماطه الشائعة حول العالم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القيادة الاستراتيجية 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C101FB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24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مفهوم اصحاب المصالح وخصائصهم وخارطتهم وبحسب المصفوفة الخاصة بهم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أصحاب المصالح 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C101FB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25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ابرز الطرائق التي تسهل نفاد شركات الاعمال الدولية الى الاسواق المحلية والدولية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أستراتيجيات الدخول الى الاسواق الدولية 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C101FB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26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5819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 xml:space="preserve">الامتحان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>2</w:t>
            </w: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 xml:space="preserve"> للفصل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 xml:space="preserve">الثاني </w:t>
            </w:r>
          </w:p>
        </w:tc>
        <w:tc>
          <w:tcPr>
            <w:tcW w:w="2970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C101FB" w:rsidRPr="00B12962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4"/>
                <w:szCs w:val="34"/>
                <w:lang w:bidi="ar-IQ"/>
              </w:rPr>
            </w:pP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>اختبار</w:t>
            </w:r>
          </w:p>
        </w:tc>
      </w:tr>
      <w:tr w:rsidR="00C101FB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27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مفهوم إدارة الموارد البشرية الدولية وابرز الادوار الجديدة التي تلعبها والتحديات التي تواجهها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عمليات إدارة الاعمال الدولية </w:t>
            </w:r>
            <w:r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إدارة الموارد البشرية الدولية 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C101FB" w:rsidRPr="00D70DBA" w:rsidTr="003E62E4">
        <w:trPr>
          <w:trHeight w:val="319"/>
        </w:trPr>
        <w:tc>
          <w:tcPr>
            <w:tcW w:w="9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28</w:t>
            </w:r>
          </w:p>
        </w:tc>
        <w:tc>
          <w:tcPr>
            <w:tcW w:w="110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مفهوم إدارة التسويق الدولي وابرز الادوار الجديدة التي يلعبها والتحديات التي يواجهها </w:t>
            </w:r>
          </w:p>
        </w:tc>
        <w:tc>
          <w:tcPr>
            <w:tcW w:w="255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عمليات إدارة الاعمال الدولية </w:t>
            </w:r>
            <w:r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إدارة التسويق الدولي  </w:t>
            </w:r>
          </w:p>
        </w:tc>
        <w:tc>
          <w:tcPr>
            <w:tcW w:w="14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C101FB" w:rsidRPr="00D70DBA" w:rsidTr="003E62E4">
        <w:trPr>
          <w:trHeight w:val="319"/>
        </w:trPr>
        <w:tc>
          <w:tcPr>
            <w:tcW w:w="944" w:type="dxa"/>
            <w:tcBorders>
              <w:bottom w:val="single" w:sz="8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29</w:t>
            </w:r>
          </w:p>
        </w:tc>
        <w:tc>
          <w:tcPr>
            <w:tcW w:w="1109" w:type="dxa"/>
            <w:tcBorders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260" w:type="dxa"/>
            <w:tcBorders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مفهوم  الادارة المالية الدولية وابرز الادوار الجديدة التي تلعبها والتحديات التي تواجهها </w:t>
            </w:r>
          </w:p>
        </w:tc>
        <w:tc>
          <w:tcPr>
            <w:tcW w:w="2559" w:type="dxa"/>
            <w:tcBorders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عمليات إدارة الاعمال الدولية </w:t>
            </w:r>
            <w:r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الادارة المالية الدولية </w:t>
            </w:r>
          </w:p>
        </w:tc>
        <w:tc>
          <w:tcPr>
            <w:tcW w:w="1411" w:type="dxa"/>
            <w:tcBorders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نظري مع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حالات دراسية و </w:t>
            </w: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مناقشة</w:t>
            </w:r>
          </w:p>
        </w:tc>
        <w:tc>
          <w:tcPr>
            <w:tcW w:w="1559" w:type="dxa"/>
            <w:tcBorders>
              <w:left w:val="single" w:sz="6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101FB" w:rsidRPr="00D70DBA" w:rsidRDefault="00C101FB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مشاركات مع امتحان فصلي</w:t>
            </w:r>
          </w:p>
        </w:tc>
      </w:tr>
      <w:tr w:rsidR="00D152B5" w:rsidRPr="00D70DBA" w:rsidTr="003E62E4">
        <w:trPr>
          <w:trHeight w:val="319"/>
        </w:trPr>
        <w:tc>
          <w:tcPr>
            <w:tcW w:w="944" w:type="dxa"/>
            <w:tcBorders>
              <w:right w:val="single" w:sz="8" w:space="0" w:color="4F81BD"/>
            </w:tcBorders>
            <w:shd w:val="clear" w:color="auto" w:fill="auto"/>
            <w:vAlign w:val="center"/>
          </w:tcPr>
          <w:p w:rsidR="00D152B5" w:rsidRPr="00D70DBA" w:rsidRDefault="00D152B5" w:rsidP="00A357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11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152B5" w:rsidRPr="00D70DBA" w:rsidRDefault="00D152B5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5819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152B5" w:rsidRPr="00D70DBA" w:rsidRDefault="00D152B5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 xml:space="preserve">الامتحان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>3</w:t>
            </w: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 xml:space="preserve"> للفصل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 xml:space="preserve">الثاني </w:t>
            </w:r>
          </w:p>
        </w:tc>
        <w:tc>
          <w:tcPr>
            <w:tcW w:w="2970" w:type="dxa"/>
            <w:gridSpan w:val="2"/>
            <w:tcBorders>
              <w:left w:val="single" w:sz="8" w:space="0" w:color="4F81BD"/>
            </w:tcBorders>
            <w:shd w:val="clear" w:color="auto" w:fill="auto"/>
            <w:vAlign w:val="center"/>
          </w:tcPr>
          <w:p w:rsidR="00D152B5" w:rsidRPr="00B12962" w:rsidRDefault="00D152B5" w:rsidP="00A35781">
            <w:pPr>
              <w:shd w:val="clear" w:color="auto" w:fill="FFFFFF" w:themeFill="background1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4"/>
                <w:szCs w:val="34"/>
                <w:lang w:bidi="ar-IQ"/>
              </w:rPr>
            </w:pPr>
            <w:r w:rsidRPr="00B12962">
              <w:rPr>
                <w:rFonts w:ascii="Cambria" w:hAnsi="Cambria" w:cs="Times New Roman" w:hint="cs"/>
                <w:b/>
                <w:bCs/>
                <w:color w:val="000000"/>
                <w:sz w:val="34"/>
                <w:szCs w:val="34"/>
                <w:rtl/>
                <w:lang w:bidi="ar-IQ"/>
              </w:rPr>
              <w:t>اختبار</w:t>
            </w:r>
          </w:p>
        </w:tc>
      </w:tr>
    </w:tbl>
    <w:p w:rsidR="00013621" w:rsidRDefault="00013621" w:rsidP="00A35781">
      <w:pPr>
        <w:shd w:val="clear" w:color="auto" w:fill="FFFFFF" w:themeFill="background1"/>
        <w:spacing w:after="240" w:line="276" w:lineRule="auto"/>
        <w:jc w:val="center"/>
        <w:rPr>
          <w:rFonts w:cs="Arial"/>
          <w:b/>
          <w:bCs/>
          <w:color w:val="1F497D"/>
          <w:sz w:val="8"/>
          <w:szCs w:val="8"/>
          <w:rtl/>
          <w:lang w:bidi="ar-IQ"/>
        </w:rPr>
      </w:pPr>
    </w:p>
    <w:p w:rsidR="00D152B5" w:rsidRDefault="00D152B5" w:rsidP="00A35781">
      <w:pPr>
        <w:shd w:val="clear" w:color="auto" w:fill="FFFFFF" w:themeFill="background1"/>
        <w:spacing w:after="240" w:line="276" w:lineRule="auto"/>
        <w:jc w:val="center"/>
        <w:rPr>
          <w:rFonts w:cs="Arial"/>
          <w:b/>
          <w:bCs/>
          <w:color w:val="1F497D"/>
          <w:sz w:val="8"/>
          <w:szCs w:val="8"/>
          <w:rtl/>
          <w:lang w:bidi="ar-IQ"/>
        </w:rPr>
      </w:pPr>
    </w:p>
    <w:p w:rsidR="00D152B5" w:rsidRPr="00013621" w:rsidRDefault="00D152B5" w:rsidP="00A35781">
      <w:pPr>
        <w:shd w:val="clear" w:color="auto" w:fill="FFFFFF" w:themeFill="background1"/>
        <w:spacing w:after="240" w:line="276" w:lineRule="auto"/>
        <w:jc w:val="center"/>
        <w:rPr>
          <w:rFonts w:cs="Arial"/>
          <w:b/>
          <w:bCs/>
          <w:color w:val="1F497D"/>
          <w:sz w:val="8"/>
          <w:szCs w:val="8"/>
          <w:rtl/>
          <w:lang w:bidi="ar-IQ"/>
        </w:rPr>
      </w:pPr>
    </w:p>
    <w:tbl>
      <w:tblPr>
        <w:bidiVisual/>
        <w:tblW w:w="10821" w:type="dxa"/>
        <w:jc w:val="center"/>
        <w:tblInd w:w="-43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4527"/>
        <w:gridCol w:w="6294"/>
      </w:tblGrid>
      <w:tr w:rsidR="00013621" w:rsidRPr="00DB131F" w:rsidTr="003E62E4">
        <w:trPr>
          <w:trHeight w:val="477"/>
          <w:jc w:val="center"/>
        </w:trPr>
        <w:tc>
          <w:tcPr>
            <w:tcW w:w="10821" w:type="dxa"/>
            <w:gridSpan w:val="2"/>
            <w:shd w:val="clear" w:color="auto" w:fill="auto"/>
            <w:vAlign w:val="center"/>
          </w:tcPr>
          <w:p w:rsidR="00013621" w:rsidRPr="00DB131F" w:rsidRDefault="00013621" w:rsidP="00A3578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013621" w:rsidRPr="00D70DBA" w:rsidTr="003E62E4">
        <w:trPr>
          <w:trHeight w:val="301"/>
          <w:jc w:val="center"/>
        </w:trPr>
        <w:tc>
          <w:tcPr>
            <w:tcW w:w="4527" w:type="dxa"/>
            <w:shd w:val="clear" w:color="auto" w:fill="auto"/>
            <w:vAlign w:val="center"/>
          </w:tcPr>
          <w:p w:rsidR="00013621" w:rsidRPr="00D70DBA" w:rsidRDefault="00013621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D70DBA"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القراءات المطلوبة :</w:t>
            </w:r>
          </w:p>
          <w:p w:rsidR="00013621" w:rsidRPr="00D70DBA" w:rsidRDefault="00013621" w:rsidP="00A35781">
            <w:pPr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النصوص الأساسية </w:t>
            </w:r>
          </w:p>
          <w:p w:rsidR="00013621" w:rsidRPr="00D70DBA" w:rsidRDefault="00013621" w:rsidP="00A35781">
            <w:pPr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كتب المقرر</w:t>
            </w:r>
          </w:p>
          <w:p w:rsidR="00013621" w:rsidRPr="00D70DBA" w:rsidRDefault="00013621" w:rsidP="00A35781">
            <w:pPr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أخرى     </w:t>
            </w:r>
          </w:p>
        </w:tc>
        <w:tc>
          <w:tcPr>
            <w:tcW w:w="6294" w:type="dxa"/>
            <w:shd w:val="clear" w:color="auto" w:fill="auto"/>
            <w:vAlign w:val="center"/>
          </w:tcPr>
          <w:p w:rsidR="00013621" w:rsidRPr="00D152B5" w:rsidRDefault="00D152B5" w:rsidP="00A35781">
            <w:pPr>
              <w:shd w:val="clear" w:color="auto" w:fill="FFFFFF" w:themeFill="background1"/>
              <w:jc w:val="both"/>
              <w:rPr>
                <w:rFonts w:cs="Simplified Arabic"/>
                <w:b/>
                <w:bCs/>
                <w:sz w:val="26"/>
                <w:szCs w:val="26"/>
              </w:rPr>
            </w:pPr>
            <w:r w:rsidRPr="00D152B5">
              <w:rPr>
                <w:rFonts w:cs="Simplified Arabic" w:hint="cs"/>
                <w:b/>
                <w:bCs/>
                <w:sz w:val="26"/>
                <w:szCs w:val="26"/>
                <w:u w:val="single"/>
                <w:rtl/>
              </w:rPr>
              <w:t>إدارة الاعمال الدولية: مدخل منهجي متكامل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( 2013) ، الدكتور احمد علي صالح ، دار وائل للنشر ، الطبعة الاولى ، عمان ، الاردن.</w:t>
            </w:r>
          </w:p>
        </w:tc>
      </w:tr>
      <w:tr w:rsidR="00013621" w:rsidRPr="00D70DBA" w:rsidTr="003E62E4">
        <w:trPr>
          <w:trHeight w:val="263"/>
          <w:jc w:val="center"/>
        </w:trPr>
        <w:tc>
          <w:tcPr>
            <w:tcW w:w="452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013621" w:rsidRPr="00D70DBA" w:rsidRDefault="00013621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294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013621" w:rsidRDefault="00D152B5" w:rsidP="00A35781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/>
                <w:b/>
                <w:bCs/>
                <w:color w:val="000000"/>
                <w:sz w:val="26"/>
                <w:szCs w:val="26"/>
                <w:lang w:bidi="ar-IQ"/>
              </w:rPr>
              <w:t xml:space="preserve">Business Insider, </w:t>
            </w:r>
            <w:hyperlink r:id="rId8" w:history="1">
              <w:r w:rsidRPr="00120778">
                <w:rPr>
                  <w:rStyle w:val="Hyperlink"/>
                  <w:rFonts w:ascii="Cambria" w:hAnsi="Cambria"/>
                  <w:b/>
                  <w:bCs/>
                  <w:sz w:val="26"/>
                  <w:szCs w:val="26"/>
                  <w:lang w:bidi="ar-IQ"/>
                </w:rPr>
                <w:t>www.businessinsider.com</w:t>
              </w:r>
            </w:hyperlink>
          </w:p>
          <w:p w:rsidR="00D152B5" w:rsidRDefault="00D152B5" w:rsidP="00A35781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/>
                <w:b/>
                <w:bCs/>
                <w:color w:val="000000"/>
                <w:sz w:val="26"/>
                <w:szCs w:val="26"/>
                <w:lang w:bidi="ar-IQ"/>
              </w:rPr>
              <w:t xml:space="preserve">Harvard Business Review, </w:t>
            </w:r>
            <w:hyperlink r:id="rId9" w:history="1">
              <w:r w:rsidR="00AC18C2" w:rsidRPr="00120778">
                <w:rPr>
                  <w:rStyle w:val="Hyperlink"/>
                  <w:rFonts w:ascii="Cambria" w:hAnsi="Cambria"/>
                  <w:b/>
                  <w:bCs/>
                  <w:sz w:val="26"/>
                  <w:szCs w:val="26"/>
                  <w:lang w:bidi="ar-IQ"/>
                </w:rPr>
                <w:t>www.hbr.org</w:t>
              </w:r>
            </w:hyperlink>
          </w:p>
          <w:p w:rsidR="00AC18C2" w:rsidRDefault="00AC18C2" w:rsidP="00A35781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/>
                <w:b/>
                <w:bCs/>
                <w:color w:val="000000"/>
                <w:sz w:val="26"/>
                <w:szCs w:val="26"/>
                <w:lang w:bidi="ar-IQ"/>
              </w:rPr>
              <w:t xml:space="preserve">Ivey Business Review, </w:t>
            </w:r>
            <w:hyperlink r:id="rId10" w:history="1">
              <w:r w:rsidRPr="00120778">
                <w:rPr>
                  <w:rStyle w:val="Hyperlink"/>
                  <w:rFonts w:ascii="Cambria" w:hAnsi="Cambria"/>
                  <w:b/>
                  <w:bCs/>
                  <w:sz w:val="26"/>
                  <w:szCs w:val="26"/>
                  <w:lang w:bidi="ar-IQ"/>
                </w:rPr>
                <w:t>www.iveybusinessreview.ca</w:t>
              </w:r>
            </w:hyperlink>
          </w:p>
          <w:p w:rsidR="00AC18C2" w:rsidRPr="00D70DBA" w:rsidRDefault="00AC18C2" w:rsidP="00A35781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  <w:tr w:rsidR="00013621" w:rsidRPr="00D70DBA" w:rsidTr="003E62E4">
        <w:trPr>
          <w:trHeight w:val="215"/>
          <w:jc w:val="center"/>
        </w:trPr>
        <w:tc>
          <w:tcPr>
            <w:tcW w:w="4527" w:type="dxa"/>
            <w:shd w:val="clear" w:color="auto" w:fill="auto"/>
            <w:vAlign w:val="center"/>
          </w:tcPr>
          <w:p w:rsidR="00013621" w:rsidRPr="00D70DBA" w:rsidRDefault="00013621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294" w:type="dxa"/>
            <w:shd w:val="clear" w:color="auto" w:fill="auto"/>
            <w:vAlign w:val="center"/>
          </w:tcPr>
          <w:p w:rsidR="00013621" w:rsidRPr="00D70DBA" w:rsidRDefault="00802967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D70DBA">
              <w:rPr>
                <w:rFonts w:ascii="Cambria" w:hAnsi="Cambria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لا يوجد</w:t>
            </w:r>
          </w:p>
        </w:tc>
      </w:tr>
    </w:tbl>
    <w:p w:rsidR="00013621" w:rsidRDefault="00013621" w:rsidP="003E62E4">
      <w:pPr>
        <w:rPr>
          <w:rtl/>
        </w:rPr>
      </w:pPr>
    </w:p>
    <w:tbl>
      <w:tblPr>
        <w:bidiVisual/>
        <w:tblW w:w="10915" w:type="dxa"/>
        <w:tblInd w:w="-121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4961"/>
        <w:gridCol w:w="5954"/>
      </w:tblGrid>
      <w:tr w:rsidR="00013621" w:rsidRPr="00DB131F" w:rsidTr="003E62E4">
        <w:trPr>
          <w:trHeight w:val="419"/>
        </w:trPr>
        <w:tc>
          <w:tcPr>
            <w:tcW w:w="10915" w:type="dxa"/>
            <w:gridSpan w:val="2"/>
            <w:shd w:val="clear" w:color="auto" w:fill="auto"/>
            <w:vAlign w:val="center"/>
          </w:tcPr>
          <w:p w:rsidR="00013621" w:rsidRPr="00DB131F" w:rsidRDefault="00013621" w:rsidP="00A35781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013621" w:rsidRPr="000049E3" w:rsidTr="003E62E4">
        <w:trPr>
          <w:trHeight w:val="60"/>
        </w:trPr>
        <w:tc>
          <w:tcPr>
            <w:tcW w:w="4961" w:type="dxa"/>
            <w:shd w:val="clear" w:color="auto" w:fill="auto"/>
            <w:vAlign w:val="center"/>
          </w:tcPr>
          <w:p w:rsidR="00013621" w:rsidRPr="000049E3" w:rsidRDefault="00013621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0049E3"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المتطلبات السابقة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13621" w:rsidRPr="000049E3" w:rsidRDefault="00013621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  <w:tr w:rsidR="00013621" w:rsidRPr="000049E3" w:rsidTr="003E62E4">
        <w:trPr>
          <w:trHeight w:val="60"/>
        </w:trPr>
        <w:tc>
          <w:tcPr>
            <w:tcW w:w="4961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013621" w:rsidRPr="000049E3" w:rsidRDefault="00013621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0049E3"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5954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013621" w:rsidRPr="000049E3" w:rsidRDefault="00E7040C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30</w:t>
            </w:r>
          </w:p>
        </w:tc>
      </w:tr>
      <w:tr w:rsidR="00013621" w:rsidRPr="000049E3" w:rsidTr="003E62E4">
        <w:trPr>
          <w:trHeight w:val="60"/>
        </w:trPr>
        <w:tc>
          <w:tcPr>
            <w:tcW w:w="4961" w:type="dxa"/>
            <w:shd w:val="clear" w:color="auto" w:fill="auto"/>
            <w:vAlign w:val="center"/>
          </w:tcPr>
          <w:p w:rsidR="00013621" w:rsidRPr="000049E3" w:rsidRDefault="00013621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0049E3"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13621" w:rsidRPr="000049E3" w:rsidRDefault="003E62E4" w:rsidP="00A3578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55</w:t>
            </w:r>
          </w:p>
        </w:tc>
      </w:tr>
    </w:tbl>
    <w:p w:rsidR="00AC18C2" w:rsidRDefault="00AC18C2" w:rsidP="00A35781">
      <w:pPr>
        <w:shd w:val="clear" w:color="auto" w:fill="FFFFFF" w:themeFill="background1"/>
        <w:spacing w:after="240" w:line="276" w:lineRule="auto"/>
        <w:jc w:val="center"/>
        <w:rPr>
          <w:rFonts w:cs="Arial"/>
          <w:b/>
          <w:bCs/>
          <w:color w:val="1F497D"/>
          <w:sz w:val="36"/>
          <w:szCs w:val="36"/>
          <w:rtl/>
          <w:lang w:bidi="ar-IQ"/>
        </w:rPr>
      </w:pPr>
    </w:p>
    <w:p w:rsidR="00E7040C" w:rsidRPr="002A432E" w:rsidRDefault="00AC18C2" w:rsidP="00A35781">
      <w:pPr>
        <w:shd w:val="clear" w:color="auto" w:fill="FFFFFF" w:themeFill="background1"/>
        <w:spacing w:after="240" w:line="276" w:lineRule="auto"/>
        <w:jc w:val="center"/>
        <w:rPr>
          <w:rFonts w:cs="Arial"/>
          <w:sz w:val="24"/>
          <w:szCs w:val="24"/>
          <w:lang w:bidi="ar-IQ"/>
        </w:rPr>
      </w:pPr>
      <w:r>
        <w:rPr>
          <w:rFonts w:cs="Arial"/>
          <w:b/>
          <w:bCs/>
          <w:color w:val="1F497D"/>
          <w:sz w:val="36"/>
          <w:szCs w:val="36"/>
          <w:rtl/>
          <w:lang w:bidi="ar-IQ"/>
        </w:rPr>
        <w:br w:type="page"/>
      </w:r>
      <w:r w:rsidR="00E7040C" w:rsidRPr="002A432E">
        <w:rPr>
          <w:rFonts w:cs="Arial"/>
          <w:sz w:val="24"/>
          <w:szCs w:val="24"/>
          <w:lang w:bidi="ar-IQ"/>
        </w:rPr>
        <w:lastRenderedPageBreak/>
        <w:t xml:space="preserve"> </w:t>
      </w:r>
    </w:p>
    <w:p w:rsidR="00013621" w:rsidRPr="002A432E" w:rsidRDefault="00A35781" w:rsidP="00A35781">
      <w:pPr>
        <w:shd w:val="clear" w:color="auto" w:fill="FFFFFF" w:themeFill="background1"/>
        <w:spacing w:before="240" w:after="240" w:line="276" w:lineRule="auto"/>
        <w:jc w:val="both"/>
        <w:rPr>
          <w:sz w:val="24"/>
          <w:szCs w:val="24"/>
          <w:rtl/>
          <w:lang w:bidi="ar-IQ"/>
        </w:rPr>
      </w:pPr>
      <w:r>
        <w:rPr>
          <w:rFonts w:cs="Arial" w:hint="cs"/>
          <w:sz w:val="24"/>
          <w:szCs w:val="24"/>
          <w:rtl/>
          <w:lang w:bidi="ar-IQ"/>
        </w:rPr>
        <w:t xml:space="preserve"> </w:t>
      </w:r>
    </w:p>
    <w:p w:rsidR="00807DE1" w:rsidRPr="00807DE1" w:rsidRDefault="00807DE1" w:rsidP="00807DE1">
      <w:pPr>
        <w:rPr>
          <w:vanish/>
        </w:rPr>
      </w:pPr>
    </w:p>
    <w:sectPr w:rsidR="00807DE1" w:rsidRPr="00807DE1" w:rsidSect="00D152B5">
      <w:footerReference w:type="default" r:id="rId11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CF2" w:rsidRDefault="003E4CF2">
      <w:r>
        <w:separator/>
      </w:r>
    </w:p>
  </w:endnote>
  <w:endnote w:type="continuationSeparator" w:id="1">
    <w:p w:rsidR="003E4CF2" w:rsidRDefault="003E4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BE0AE8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844005" w:rsidRPr="00844005">
            <w:rPr>
              <w:rFonts w:cs="Arial"/>
            </w:rPr>
            <w:fldChar w:fldCharType="begin"/>
          </w:r>
          <w:r w:rsidRPr="00BE0AE8">
            <w:rPr>
              <w:rFonts w:cs="Arial"/>
            </w:rPr>
            <w:instrText>PAGE  \* MERGEFORMAT</w:instrText>
          </w:r>
          <w:r w:rsidR="00844005" w:rsidRPr="00844005">
            <w:rPr>
              <w:rFonts w:cs="Arial"/>
            </w:rPr>
            <w:fldChar w:fldCharType="separate"/>
          </w:r>
          <w:r w:rsidR="00A05E11" w:rsidRPr="00A05E11">
            <w:rPr>
              <w:rFonts w:ascii="Cambria" w:hAnsi="Cambria"/>
              <w:b/>
              <w:bCs/>
              <w:noProof/>
              <w:rtl/>
              <w:lang w:val="ar-SA"/>
            </w:rPr>
            <w:t>3</w:t>
          </w:r>
          <w:r w:rsidR="00844005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BE0AE8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BE0AE8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BE0AE8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BE0AE8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CF2" w:rsidRDefault="003E4CF2">
      <w:r>
        <w:separator/>
      </w:r>
    </w:p>
  </w:footnote>
  <w:footnote w:type="continuationSeparator" w:id="1">
    <w:p w:rsidR="003E4CF2" w:rsidRDefault="003E4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02E8"/>
    <w:multiLevelType w:val="hybridMultilevel"/>
    <w:tmpl w:val="D31C58D4"/>
    <w:lvl w:ilvl="0" w:tplc="515214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17CA7"/>
    <w:multiLevelType w:val="hybridMultilevel"/>
    <w:tmpl w:val="B6D2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B51219"/>
    <w:multiLevelType w:val="multilevel"/>
    <w:tmpl w:val="1EFE584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49E3"/>
    <w:rsid w:val="00005774"/>
    <w:rsid w:val="00007B9F"/>
    <w:rsid w:val="00013621"/>
    <w:rsid w:val="000428A6"/>
    <w:rsid w:val="00063AD7"/>
    <w:rsid w:val="00070BE9"/>
    <w:rsid w:val="0008002F"/>
    <w:rsid w:val="00090A55"/>
    <w:rsid w:val="000A1C7A"/>
    <w:rsid w:val="000A67F9"/>
    <w:rsid w:val="000A69B4"/>
    <w:rsid w:val="000A73BF"/>
    <w:rsid w:val="000B4430"/>
    <w:rsid w:val="000E19A2"/>
    <w:rsid w:val="000E58E3"/>
    <w:rsid w:val="000F2476"/>
    <w:rsid w:val="000F3655"/>
    <w:rsid w:val="000F5F6D"/>
    <w:rsid w:val="00102C53"/>
    <w:rsid w:val="00104BF3"/>
    <w:rsid w:val="0010580A"/>
    <w:rsid w:val="001141F6"/>
    <w:rsid w:val="00120778"/>
    <w:rsid w:val="001304F3"/>
    <w:rsid w:val="001337C8"/>
    <w:rsid w:val="0014600C"/>
    <w:rsid w:val="0015696E"/>
    <w:rsid w:val="00182552"/>
    <w:rsid w:val="00192A9C"/>
    <w:rsid w:val="001B0307"/>
    <w:rsid w:val="001B51EB"/>
    <w:rsid w:val="001C1CD7"/>
    <w:rsid w:val="001D678C"/>
    <w:rsid w:val="001F560A"/>
    <w:rsid w:val="001F7A06"/>
    <w:rsid w:val="002000D6"/>
    <w:rsid w:val="00203A53"/>
    <w:rsid w:val="0020555A"/>
    <w:rsid w:val="002358AF"/>
    <w:rsid w:val="00236F0D"/>
    <w:rsid w:val="0023793A"/>
    <w:rsid w:val="00242DCC"/>
    <w:rsid w:val="002444B5"/>
    <w:rsid w:val="00265E20"/>
    <w:rsid w:val="00297E64"/>
    <w:rsid w:val="002B28B2"/>
    <w:rsid w:val="002C74F4"/>
    <w:rsid w:val="002D2398"/>
    <w:rsid w:val="002F032D"/>
    <w:rsid w:val="002F0830"/>
    <w:rsid w:val="002F1537"/>
    <w:rsid w:val="00305509"/>
    <w:rsid w:val="0030567D"/>
    <w:rsid w:val="003068D1"/>
    <w:rsid w:val="003132A6"/>
    <w:rsid w:val="00327FCC"/>
    <w:rsid w:val="0034068F"/>
    <w:rsid w:val="00357C89"/>
    <w:rsid w:val="00366088"/>
    <w:rsid w:val="00372012"/>
    <w:rsid w:val="00391BA9"/>
    <w:rsid w:val="003A16B8"/>
    <w:rsid w:val="003A3412"/>
    <w:rsid w:val="003A678A"/>
    <w:rsid w:val="003A6895"/>
    <w:rsid w:val="003C56DD"/>
    <w:rsid w:val="003D4EAF"/>
    <w:rsid w:val="003D5734"/>
    <w:rsid w:val="003D742A"/>
    <w:rsid w:val="003D7925"/>
    <w:rsid w:val="003E04B9"/>
    <w:rsid w:val="003E179B"/>
    <w:rsid w:val="003E4CF2"/>
    <w:rsid w:val="003E55DB"/>
    <w:rsid w:val="003E62E4"/>
    <w:rsid w:val="003F6248"/>
    <w:rsid w:val="00406DC6"/>
    <w:rsid w:val="004319BE"/>
    <w:rsid w:val="004361D7"/>
    <w:rsid w:val="00457EA3"/>
    <w:rsid w:val="004662C5"/>
    <w:rsid w:val="0048407D"/>
    <w:rsid w:val="00487CAC"/>
    <w:rsid w:val="004A4634"/>
    <w:rsid w:val="004A6A6D"/>
    <w:rsid w:val="004D00FA"/>
    <w:rsid w:val="004D2002"/>
    <w:rsid w:val="004D3497"/>
    <w:rsid w:val="004D50CE"/>
    <w:rsid w:val="004E0EBA"/>
    <w:rsid w:val="004E3ECF"/>
    <w:rsid w:val="004E60C2"/>
    <w:rsid w:val="004F0938"/>
    <w:rsid w:val="00516004"/>
    <w:rsid w:val="00534329"/>
    <w:rsid w:val="00534BDB"/>
    <w:rsid w:val="00535D14"/>
    <w:rsid w:val="00543AC9"/>
    <w:rsid w:val="00547A12"/>
    <w:rsid w:val="00581B3C"/>
    <w:rsid w:val="005827E2"/>
    <w:rsid w:val="00584D07"/>
    <w:rsid w:val="00584DA6"/>
    <w:rsid w:val="00595034"/>
    <w:rsid w:val="005A3CAC"/>
    <w:rsid w:val="005C050F"/>
    <w:rsid w:val="005C71F0"/>
    <w:rsid w:val="005D644B"/>
    <w:rsid w:val="005D69BE"/>
    <w:rsid w:val="005E2377"/>
    <w:rsid w:val="005F733A"/>
    <w:rsid w:val="0060297B"/>
    <w:rsid w:val="006031F2"/>
    <w:rsid w:val="00606B47"/>
    <w:rsid w:val="006101CA"/>
    <w:rsid w:val="006120D9"/>
    <w:rsid w:val="00623353"/>
    <w:rsid w:val="00624259"/>
    <w:rsid w:val="00627034"/>
    <w:rsid w:val="006279D6"/>
    <w:rsid w:val="006315D0"/>
    <w:rsid w:val="00636CB6"/>
    <w:rsid w:val="006377B6"/>
    <w:rsid w:val="00637C8B"/>
    <w:rsid w:val="00671EDD"/>
    <w:rsid w:val="00677895"/>
    <w:rsid w:val="006D25BF"/>
    <w:rsid w:val="006D4F39"/>
    <w:rsid w:val="0075633E"/>
    <w:rsid w:val="00760D34"/>
    <w:rsid w:val="007645B4"/>
    <w:rsid w:val="00767E3E"/>
    <w:rsid w:val="007716A6"/>
    <w:rsid w:val="007778AD"/>
    <w:rsid w:val="0078752C"/>
    <w:rsid w:val="0079031B"/>
    <w:rsid w:val="007A7C20"/>
    <w:rsid w:val="007B0B99"/>
    <w:rsid w:val="007B21F5"/>
    <w:rsid w:val="007F319C"/>
    <w:rsid w:val="007F5262"/>
    <w:rsid w:val="00802967"/>
    <w:rsid w:val="00807DE1"/>
    <w:rsid w:val="00830818"/>
    <w:rsid w:val="00844005"/>
    <w:rsid w:val="008467A5"/>
    <w:rsid w:val="00867A6A"/>
    <w:rsid w:val="00867FFC"/>
    <w:rsid w:val="00873B99"/>
    <w:rsid w:val="0088070E"/>
    <w:rsid w:val="008A3F48"/>
    <w:rsid w:val="008B1371"/>
    <w:rsid w:val="008B2E37"/>
    <w:rsid w:val="008C3854"/>
    <w:rsid w:val="008D4E9D"/>
    <w:rsid w:val="008E27DA"/>
    <w:rsid w:val="008F3E7F"/>
    <w:rsid w:val="00902FDF"/>
    <w:rsid w:val="00925B10"/>
    <w:rsid w:val="0094549C"/>
    <w:rsid w:val="0096666E"/>
    <w:rsid w:val="00967B24"/>
    <w:rsid w:val="0098449B"/>
    <w:rsid w:val="0098755F"/>
    <w:rsid w:val="009A07B9"/>
    <w:rsid w:val="009B354C"/>
    <w:rsid w:val="009B609A"/>
    <w:rsid w:val="009B68B5"/>
    <w:rsid w:val="009C4ACD"/>
    <w:rsid w:val="009D36E7"/>
    <w:rsid w:val="009D5412"/>
    <w:rsid w:val="009E2D35"/>
    <w:rsid w:val="009F7BAF"/>
    <w:rsid w:val="00A05E11"/>
    <w:rsid w:val="00A07775"/>
    <w:rsid w:val="00A11A57"/>
    <w:rsid w:val="00A12DBC"/>
    <w:rsid w:val="00A2126F"/>
    <w:rsid w:val="00A30E4D"/>
    <w:rsid w:val="00A32E9F"/>
    <w:rsid w:val="00A35781"/>
    <w:rsid w:val="00A4754D"/>
    <w:rsid w:val="00A658DD"/>
    <w:rsid w:val="00A676A4"/>
    <w:rsid w:val="00A717B0"/>
    <w:rsid w:val="00A85288"/>
    <w:rsid w:val="00A8764F"/>
    <w:rsid w:val="00AB2B0D"/>
    <w:rsid w:val="00AB71A5"/>
    <w:rsid w:val="00AC18C2"/>
    <w:rsid w:val="00AC5E10"/>
    <w:rsid w:val="00AD37EA"/>
    <w:rsid w:val="00AD4058"/>
    <w:rsid w:val="00AE0B23"/>
    <w:rsid w:val="00AF30DE"/>
    <w:rsid w:val="00B04671"/>
    <w:rsid w:val="00B12962"/>
    <w:rsid w:val="00B15F45"/>
    <w:rsid w:val="00B32265"/>
    <w:rsid w:val="00B412FE"/>
    <w:rsid w:val="00B5102D"/>
    <w:rsid w:val="00B521B7"/>
    <w:rsid w:val="00B727AD"/>
    <w:rsid w:val="00BB1D60"/>
    <w:rsid w:val="00BC76C0"/>
    <w:rsid w:val="00BD6410"/>
    <w:rsid w:val="00BE0AE8"/>
    <w:rsid w:val="00BF4161"/>
    <w:rsid w:val="00C101FB"/>
    <w:rsid w:val="00C342BC"/>
    <w:rsid w:val="00C370D1"/>
    <w:rsid w:val="00C67022"/>
    <w:rsid w:val="00C758B3"/>
    <w:rsid w:val="00C8082D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E4E72"/>
    <w:rsid w:val="00CF37CA"/>
    <w:rsid w:val="00CF6708"/>
    <w:rsid w:val="00D06ADB"/>
    <w:rsid w:val="00D0779D"/>
    <w:rsid w:val="00D152B5"/>
    <w:rsid w:val="00D1550E"/>
    <w:rsid w:val="00D21ABA"/>
    <w:rsid w:val="00D23280"/>
    <w:rsid w:val="00D24937"/>
    <w:rsid w:val="00D30E6A"/>
    <w:rsid w:val="00D330F7"/>
    <w:rsid w:val="00D355A3"/>
    <w:rsid w:val="00D35AEC"/>
    <w:rsid w:val="00D469A0"/>
    <w:rsid w:val="00D6182E"/>
    <w:rsid w:val="00D64F13"/>
    <w:rsid w:val="00D67953"/>
    <w:rsid w:val="00D70DBA"/>
    <w:rsid w:val="00D7585F"/>
    <w:rsid w:val="00D80DD5"/>
    <w:rsid w:val="00D84C32"/>
    <w:rsid w:val="00D92EBE"/>
    <w:rsid w:val="00DB0BF7"/>
    <w:rsid w:val="00DB131F"/>
    <w:rsid w:val="00DB41A0"/>
    <w:rsid w:val="00DC5FB3"/>
    <w:rsid w:val="00E039A3"/>
    <w:rsid w:val="00E044F7"/>
    <w:rsid w:val="00E06A63"/>
    <w:rsid w:val="00E17DF2"/>
    <w:rsid w:val="00E2684E"/>
    <w:rsid w:val="00E4594B"/>
    <w:rsid w:val="00E507CC"/>
    <w:rsid w:val="00E61516"/>
    <w:rsid w:val="00E63C9E"/>
    <w:rsid w:val="00E7040C"/>
    <w:rsid w:val="00E734E3"/>
    <w:rsid w:val="00E7597F"/>
    <w:rsid w:val="00E81C0D"/>
    <w:rsid w:val="00E9635D"/>
    <w:rsid w:val="00EA76EE"/>
    <w:rsid w:val="00EA7967"/>
    <w:rsid w:val="00EB0147"/>
    <w:rsid w:val="00EB39F9"/>
    <w:rsid w:val="00EC2141"/>
    <w:rsid w:val="00EE06F8"/>
    <w:rsid w:val="00EE0DAB"/>
    <w:rsid w:val="00EE1AC2"/>
    <w:rsid w:val="00F170F4"/>
    <w:rsid w:val="00F3010C"/>
    <w:rsid w:val="00F352D5"/>
    <w:rsid w:val="00F53301"/>
    <w:rsid w:val="00F550BE"/>
    <w:rsid w:val="00F56174"/>
    <w:rsid w:val="00F61A97"/>
    <w:rsid w:val="00F745F2"/>
    <w:rsid w:val="00F80574"/>
    <w:rsid w:val="00F87100"/>
    <w:rsid w:val="00FA682B"/>
    <w:rsid w:val="00FB6A6F"/>
    <w:rsid w:val="00FC2D99"/>
    <w:rsid w:val="00FE1E8E"/>
    <w:rsid w:val="00FE4D20"/>
    <w:rsid w:val="00FF0724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link w:val="Heading4Char"/>
    <w:rsid w:val="00E7040C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7040C"/>
    <w:pPr>
      <w:keepNext/>
      <w:keepLines/>
      <w:spacing w:before="220" w:after="40"/>
      <w:outlineLvl w:val="4"/>
    </w:pPr>
    <w:rPr>
      <w:rFonts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E7040C"/>
    <w:pPr>
      <w:keepNext/>
      <w:keepLines/>
      <w:spacing w:before="200" w:after="40"/>
      <w:outlineLvl w:val="5"/>
    </w:pPr>
    <w:rPr>
      <w:rFonts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D152B5"/>
    <w:rPr>
      <w:color w:val="0000FF"/>
      <w:u w:val="single"/>
    </w:rPr>
  </w:style>
  <w:style w:type="character" w:styleId="Emphasis">
    <w:name w:val="Emphasis"/>
    <w:uiPriority w:val="20"/>
    <w:qFormat/>
    <w:rsid w:val="00AC18C2"/>
    <w:rPr>
      <w:i/>
      <w:iCs/>
    </w:rPr>
  </w:style>
  <w:style w:type="character" w:customStyle="1" w:styleId="Heading4Char">
    <w:name w:val="Heading 4 Char"/>
    <w:basedOn w:val="DefaultParagraphFont"/>
    <w:link w:val="Heading4"/>
    <w:rsid w:val="00E7040C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7040C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7040C"/>
    <w:rPr>
      <w:b/>
    </w:rPr>
  </w:style>
  <w:style w:type="character" w:customStyle="1" w:styleId="Heading1Char">
    <w:name w:val="Heading 1 Char"/>
    <w:basedOn w:val="DefaultParagraphFont"/>
    <w:link w:val="Heading1"/>
    <w:rsid w:val="00E7040C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E7040C"/>
    <w:rPr>
      <w:rFonts w:cs="Traditional Arabic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E7040C"/>
    <w:rPr>
      <w:rFonts w:cs="Traditional Arabic"/>
      <w:b/>
      <w:bCs/>
      <w:szCs w:val="32"/>
    </w:rPr>
  </w:style>
  <w:style w:type="paragraph" w:styleId="Title">
    <w:name w:val="Title"/>
    <w:basedOn w:val="Normal"/>
    <w:next w:val="Normal"/>
    <w:link w:val="TitleChar"/>
    <w:rsid w:val="00E7040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7040C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704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7040C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D152B5"/>
    <w:rPr>
      <w:color w:val="0000FF"/>
      <w:u w:val="single"/>
    </w:rPr>
  </w:style>
  <w:style w:type="character" w:styleId="Emphasis">
    <w:name w:val="Emphasis"/>
    <w:uiPriority w:val="20"/>
    <w:qFormat/>
    <w:rsid w:val="00AC18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insid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veybusinessreview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b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EA8F-F847-4B67-9F69-8E13C6D3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1196</Words>
  <Characters>6822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Ahmed-Under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Dr. Ali Al Sudany</dc:creator>
  <cp:lastModifiedBy>lenovo</cp:lastModifiedBy>
  <cp:revision>3</cp:revision>
  <cp:lastPrinted>2014-02-11T22:56:00Z</cp:lastPrinted>
  <dcterms:created xsi:type="dcterms:W3CDTF">2022-04-04T15:03:00Z</dcterms:created>
  <dcterms:modified xsi:type="dcterms:W3CDTF">2022-04-05T08:11:00Z</dcterms:modified>
</cp:coreProperties>
</file>