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D43EEF" w:rsidRDefault="0013598D" w:rsidP="00D43EEF">
      <w:pPr>
        <w:pStyle w:val="Heading2"/>
        <w:bidi/>
        <w:jc w:val="center"/>
        <w:rPr>
          <w:color w:val="auto"/>
          <w:rtl/>
          <w:lang w:bidi="ar-IQ"/>
        </w:rPr>
      </w:pPr>
      <w:r w:rsidRPr="00D43EEF">
        <w:rPr>
          <w:rFonts w:hint="cs"/>
          <w:color w:val="auto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BE510B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محافظ استثمارية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D43EEF" w:rsidP="0034006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الثاني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D43EE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375111" w:rsidP="009C757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</w:t>
            </w:r>
            <w:r w:rsidR="009C757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-202</w:t>
            </w:r>
            <w:r w:rsidR="009C757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697DB2" w:rsidRPr="00125874" w:rsidTr="00387BF0">
        <w:trPr>
          <w:trHeight w:val="4364"/>
        </w:trPr>
        <w:tc>
          <w:tcPr>
            <w:tcW w:w="9016" w:type="dxa"/>
            <w:gridSpan w:val="2"/>
          </w:tcPr>
          <w:p w:rsidR="00BE510B" w:rsidRDefault="00BE510B" w:rsidP="00BE510B">
            <w:pPr>
              <w:tabs>
                <w:tab w:val="left" w:pos="583"/>
              </w:tabs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تعريف الطالب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IQ"/>
              </w:rPr>
              <w:t>ب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المفاهيم الاساسية للاستثمار ومخاطره وكيفية ادارة المحفظة الاستثمارية</w:t>
            </w:r>
          </w:p>
          <w:p w:rsidR="00BE510B" w:rsidRDefault="00BE510B" w:rsidP="00BE510B">
            <w:pPr>
              <w:tabs>
                <w:tab w:val="left" w:pos="583"/>
              </w:tabs>
              <w:jc w:val="right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وبناء قدرااته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على التحليل والتفكير الابداعي بأدارة المحفظة الاستثمارية.</w:t>
            </w:r>
          </w:p>
          <w:p w:rsidR="00017BCC" w:rsidRPr="00BE510B" w:rsidRDefault="00017BCC" w:rsidP="00BE510B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125874" w:rsidRPr="00125874" w:rsidRDefault="00FE3EA9" w:rsidP="00BE510B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BE510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بكيفية ادارة المحافظ الاستثمارية والية التنويع فيها</w:t>
            </w:r>
          </w:p>
          <w:p w:rsidR="00B71CFF" w:rsidRPr="00FE3EA9" w:rsidRDefault="00B71CFF" w:rsidP="00FE3EA9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BE510B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4B5E39">
              <w:rPr>
                <w:rFonts w:hint="cs"/>
                <w:b/>
                <w:bCs/>
                <w:rtl/>
                <w:lang w:bidi="ar-IQ"/>
              </w:rPr>
              <w:t xml:space="preserve">دراسة </w:t>
            </w:r>
            <w:r w:rsidR="00BE510B">
              <w:rPr>
                <w:rFonts w:hint="cs"/>
                <w:b/>
                <w:bCs/>
                <w:rtl/>
                <w:lang w:bidi="ar-IQ"/>
              </w:rPr>
              <w:t>المحافظ الاستثمارية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FE3EA9" w:rsidRPr="001134A9" w:rsidRDefault="00DA20DE" w:rsidP="00BE510B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D43EEF">
              <w:rPr>
                <w:rFonts w:hint="cs"/>
                <w:b/>
                <w:bCs/>
                <w:rtl/>
                <w:lang w:bidi="ar-IQ"/>
              </w:rPr>
              <w:t xml:space="preserve">ادارة </w:t>
            </w:r>
            <w:r w:rsidR="00BE510B">
              <w:rPr>
                <w:rFonts w:hint="cs"/>
                <w:b/>
                <w:bCs/>
                <w:rtl/>
                <w:lang w:bidi="ar-IQ"/>
              </w:rPr>
              <w:t>المحافظ الاستثمارية</w:t>
            </w:r>
            <w:r w:rsidR="001134A9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457DAF" w:rsidP="00BE510B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BE510B">
              <w:rPr>
                <w:rFonts w:hint="cs"/>
                <w:b/>
                <w:bCs/>
                <w:rtl/>
                <w:lang w:bidi="ar-IQ"/>
              </w:rPr>
              <w:t>ادارة المحافظ الاستثمارية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BE510B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4B5E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دراسة </w:t>
                            </w:r>
                            <w:r w:rsidR="00BE51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ادارة المحافظ الاستثمارية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BE510B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بما يخص </w:t>
                      </w:r>
                      <w:r w:rsidR="004B5E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دراسة </w:t>
                      </w:r>
                      <w:r w:rsidR="00BE51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ادارة المحافظ الاستثمارية</w:t>
                      </w:r>
                      <w:bookmarkStart w:id="1" w:name="_GoBack"/>
                      <w:bookmarkEnd w:id="1"/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1943"/>
        <w:gridCol w:w="1433"/>
        <w:gridCol w:w="2745"/>
        <w:gridCol w:w="1223"/>
        <w:gridCol w:w="1419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0A1E7E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194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43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74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22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  <w:vAlign w:val="center"/>
          </w:tcPr>
          <w:p w:rsidR="00BE510B" w:rsidRPr="00AC7DCB" w:rsidRDefault="00BE510B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1943" w:type="dxa"/>
            <w:vAlign w:val="center"/>
          </w:tcPr>
          <w:p w:rsidR="00BE510B" w:rsidRPr="00835D79" w:rsidRDefault="00BE510B" w:rsidP="00017BC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CF10A6" w:rsidRDefault="00BE510B" w:rsidP="00687A12">
            <w:pPr>
              <w:rPr>
                <w:lang w:val="en-US"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الاول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مقدمة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في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المحافظ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مفهوم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ونشاه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اهمية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واهداف</w:t>
            </w:r>
          </w:p>
        </w:tc>
        <w:tc>
          <w:tcPr>
            <w:tcW w:w="1223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  <w:vAlign w:val="center"/>
          </w:tcPr>
          <w:p w:rsidR="00BE510B" w:rsidRPr="00AC7DCB" w:rsidRDefault="00BE510B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انواع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المحافظ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والعوامل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المؤثرة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به</w:t>
            </w:r>
          </w:p>
        </w:tc>
        <w:tc>
          <w:tcPr>
            <w:tcW w:w="1223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  <w:vAlign w:val="center"/>
          </w:tcPr>
          <w:p w:rsidR="00BE510B" w:rsidRPr="00AC7DCB" w:rsidRDefault="00BE510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الثاني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نظرية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ومكوناتها</w:t>
            </w:r>
          </w:p>
        </w:tc>
        <w:tc>
          <w:tcPr>
            <w:tcW w:w="1223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  <w:vAlign w:val="center"/>
          </w:tcPr>
          <w:p w:rsidR="00BE510B" w:rsidRPr="00AC7DCB" w:rsidRDefault="00BE510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الثالث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ادارة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قرارات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المحافظ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قرار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المزج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او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التنويع</w:t>
            </w:r>
          </w:p>
        </w:tc>
        <w:tc>
          <w:tcPr>
            <w:tcW w:w="1223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  <w:vAlign w:val="center"/>
          </w:tcPr>
          <w:p w:rsidR="00BE510B" w:rsidRPr="00AC7DCB" w:rsidRDefault="00BE510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الرابع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مفهوم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العائد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وقياسه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معدل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العائد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المتوقع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المخاطر</w:t>
            </w:r>
            <w:r w:rsidRPr="00974A23">
              <w:rPr>
                <w:b/>
                <w:bCs/>
              </w:rPr>
              <w:t xml:space="preserve"> ,</w:t>
            </w:r>
          </w:p>
        </w:tc>
        <w:tc>
          <w:tcPr>
            <w:tcW w:w="1223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BE510B" w:rsidRPr="00125874" w:rsidRDefault="00BE510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الانحراف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المعياري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التباين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معامل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الاختلاف</w:t>
            </w:r>
            <w:r w:rsidRPr="00974A23">
              <w:rPr>
                <w:b/>
                <w:bCs/>
                <w:rtl/>
              </w:rPr>
              <w:t xml:space="preserve">, </w:t>
            </w:r>
            <w:r w:rsidRPr="00974A23">
              <w:rPr>
                <w:rFonts w:hint="cs"/>
                <w:b/>
                <w:bCs/>
                <w:rtl/>
              </w:rPr>
              <w:t>بيتا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المخاطر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النظامية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الخامس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قياس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العائد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والمخاطر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في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تعريف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وقياس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المخاطر</w:t>
            </w:r>
            <w:r w:rsidRPr="00974A23">
              <w:rPr>
                <w:b/>
                <w:bCs/>
              </w:rPr>
              <w:t>,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قياس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العائد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,  </w:t>
            </w:r>
            <w:r w:rsidRPr="00974A23">
              <w:rPr>
                <w:rFonts w:hint="cs"/>
                <w:b/>
                <w:bCs/>
                <w:rtl/>
              </w:rPr>
              <w:t>مخاطرة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الموجود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الفردي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امتحان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الشهر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الاول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السادس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تحليل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بيئة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الاستثمارات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في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انواع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الاسواق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المالية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الادوات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المالية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في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سوق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راس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المال</w:t>
            </w:r>
            <w:r w:rsidRPr="00974A23">
              <w:rPr>
                <w:b/>
                <w:bCs/>
                <w:rtl/>
              </w:rPr>
              <w:t xml:space="preserve">, </w:t>
            </w:r>
            <w:r w:rsidRPr="00974A23">
              <w:rPr>
                <w:rFonts w:hint="cs"/>
                <w:b/>
                <w:bCs/>
                <w:rtl/>
              </w:rPr>
              <w:t>التحليل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الاساسي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والفني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للادوات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السابع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تحليل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, </w:t>
            </w:r>
            <w:r w:rsidRPr="00974A23">
              <w:rPr>
                <w:rFonts w:hint="cs"/>
                <w:b/>
                <w:bCs/>
                <w:rtl/>
              </w:rPr>
              <w:t>تنويع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معامل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الارتباط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حساب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عائد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في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اختلاف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العوائد</w:t>
            </w:r>
            <w:r w:rsidRPr="00974A23">
              <w:rPr>
                <w:b/>
                <w:bCs/>
                <w:rtl/>
              </w:rPr>
              <w:t xml:space="preserve">,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المثلى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0264C6" w:rsidRDefault="00BE510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الثامن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نماذج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المحافظ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 </w:t>
            </w:r>
            <w:r w:rsidRPr="00974A23">
              <w:rPr>
                <w:rFonts w:hint="cs"/>
                <w:b/>
                <w:bCs/>
                <w:rtl/>
              </w:rPr>
              <w:t>خط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سوق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راس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المال</w:t>
            </w:r>
            <w:r w:rsidRPr="00974A23">
              <w:rPr>
                <w:b/>
                <w:bCs/>
                <w:rtl/>
              </w:rPr>
              <w:t xml:space="preserve">, </w:t>
            </w:r>
            <w:r w:rsidRPr="00974A23">
              <w:rPr>
                <w:rFonts w:hint="cs"/>
                <w:b/>
                <w:bCs/>
                <w:rtl/>
              </w:rPr>
              <w:t>نموذج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تسعير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الاصول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الراسمالية</w:t>
            </w:r>
            <w:r w:rsidRPr="00974A23">
              <w:rPr>
                <w:b/>
                <w:bCs/>
              </w:rPr>
              <w:t xml:space="preserve"> ,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D208EC" w:rsidRDefault="00BE510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نموذج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تسعير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المراجحة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استنباط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معادلة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نموذج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تسعير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المراجحة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5073D4" w:rsidRDefault="00BE510B" w:rsidP="00687A12">
            <w:pPr>
              <w:rPr>
                <w:rtl/>
                <w:lang w:val="en-US"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التاسع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تقييم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اداء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المحافظ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الاستثمارية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نموذج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شارب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لتقييم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اداء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نموذج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ترينور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لتقييم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اداء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  <w:r w:rsidRPr="00974A23">
              <w:rPr>
                <w:b/>
                <w:bCs/>
                <w:rtl/>
              </w:rPr>
              <w:t xml:space="preserve"> , </w:t>
            </w:r>
            <w:r w:rsidRPr="00974A23">
              <w:rPr>
                <w:rFonts w:hint="cs"/>
                <w:b/>
                <w:bCs/>
                <w:rtl/>
              </w:rPr>
              <w:t>نموذج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جنسن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لقياس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اداء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المحفظة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E510B" w:rsidRPr="00125874" w:rsidTr="00310CB9">
        <w:trPr>
          <w:trHeight w:val="547"/>
        </w:trPr>
        <w:tc>
          <w:tcPr>
            <w:tcW w:w="938" w:type="dxa"/>
          </w:tcPr>
          <w:p w:rsidR="00BE510B" w:rsidRPr="00AC7DCB" w:rsidRDefault="00BE510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943" w:type="dxa"/>
          </w:tcPr>
          <w:p w:rsidR="00BE510B" w:rsidRDefault="00BE510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BE510B" w:rsidRPr="00D208EC" w:rsidRDefault="00BE510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BE510B" w:rsidRPr="00974A23" w:rsidRDefault="00BE510B" w:rsidP="00937DA7">
            <w:pPr>
              <w:jc w:val="center"/>
              <w:rPr>
                <w:b/>
                <w:bCs/>
              </w:rPr>
            </w:pPr>
            <w:r w:rsidRPr="00974A23">
              <w:rPr>
                <w:rFonts w:hint="cs"/>
                <w:b/>
                <w:bCs/>
                <w:rtl/>
              </w:rPr>
              <w:t>الفصل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العاشر</w:t>
            </w:r>
            <w:r w:rsidRPr="00974A23">
              <w:rPr>
                <w:b/>
                <w:bCs/>
                <w:rtl/>
              </w:rPr>
              <w:t xml:space="preserve"> : </w:t>
            </w:r>
            <w:r w:rsidRPr="00974A23">
              <w:rPr>
                <w:rFonts w:hint="cs"/>
                <w:b/>
                <w:bCs/>
                <w:rtl/>
              </w:rPr>
              <w:t>ادارة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محافظ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صناديق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الاستثمار</w:t>
            </w:r>
            <w:r w:rsidRPr="00974A23">
              <w:rPr>
                <w:b/>
                <w:bCs/>
                <w:rtl/>
              </w:rPr>
              <w:t xml:space="preserve"> + </w:t>
            </w:r>
            <w:r w:rsidRPr="00974A23">
              <w:rPr>
                <w:rFonts w:hint="cs"/>
                <w:b/>
                <w:bCs/>
                <w:rtl/>
              </w:rPr>
              <w:t>الامتحان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الشهر</w:t>
            </w:r>
            <w:r w:rsidRPr="00974A23">
              <w:rPr>
                <w:b/>
                <w:bCs/>
                <w:rtl/>
              </w:rPr>
              <w:t xml:space="preserve"> </w:t>
            </w:r>
            <w:r w:rsidRPr="00974A23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223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BE510B" w:rsidRPr="00125874" w:rsidRDefault="00BE510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FF58E2">
      <w:pPr>
        <w:tabs>
          <w:tab w:val="left" w:pos="5443"/>
          <w:tab w:val="right" w:pos="9026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lastRenderedPageBreak/>
        <w:tab/>
      </w:r>
      <w:r w:rsidR="00FF58E2"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Pr="00125874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971954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F58E2" w:rsidRPr="00017BCC" w:rsidRDefault="00FF58E2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</w:p>
          <w:p w:rsidR="00D94A6C" w:rsidRPr="00FF58E2" w:rsidRDefault="00D94A6C" w:rsidP="005D63CE">
            <w:pPr>
              <w:jc w:val="right"/>
              <w:rPr>
                <w:lang w:val="en-US"/>
              </w:rPr>
            </w:pPr>
          </w:p>
        </w:tc>
      </w:tr>
      <w:tr w:rsidR="000A1E7E" w:rsidRPr="00125874" w:rsidTr="00135719">
        <w:trPr>
          <w:trHeight w:val="653"/>
        </w:trPr>
        <w:tc>
          <w:tcPr>
            <w:tcW w:w="3889" w:type="dxa"/>
          </w:tcPr>
          <w:p w:rsidR="000A1E7E" w:rsidRPr="00125874" w:rsidRDefault="000A1E7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D43EEF" w:rsidRPr="00D43EEF" w:rsidRDefault="00D43EEF" w:rsidP="00D43E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0A1E7E" w:rsidRPr="00BE510B" w:rsidRDefault="00BE510B" w:rsidP="00BE510B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color w:val="000000"/>
                <w:lang w:val="en-US" w:bidi="ar-IQ"/>
              </w:rPr>
            </w:pPr>
            <w:r w:rsidRPr="00974A23">
              <w:rPr>
                <w:rFonts w:ascii="Cambria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دريد كامل الشيب, ادارة المحافظ الاستثمارية, 2015.</w:t>
            </w:r>
          </w:p>
        </w:tc>
      </w:tr>
      <w:tr w:rsidR="00CD4C33" w:rsidRPr="00125874" w:rsidTr="00971954">
        <w:trPr>
          <w:trHeight w:val="653"/>
        </w:trPr>
        <w:tc>
          <w:tcPr>
            <w:tcW w:w="3889" w:type="dxa"/>
          </w:tcPr>
          <w:p w:rsidR="00CD4C33" w:rsidRPr="00125874" w:rsidRDefault="00CD4C33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CD4C33" w:rsidRPr="00125874" w:rsidRDefault="00CD4C33" w:rsidP="00340065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D4C33" w:rsidRPr="00125874" w:rsidTr="00971954">
        <w:trPr>
          <w:trHeight w:val="692"/>
        </w:trPr>
        <w:tc>
          <w:tcPr>
            <w:tcW w:w="3889" w:type="dxa"/>
          </w:tcPr>
          <w:p w:rsidR="00CD4C33" w:rsidRPr="00125874" w:rsidRDefault="00CD4C33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CD4C33" w:rsidRPr="00125874" w:rsidRDefault="00CD4C33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0A1E7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2-المراجعة الدورية للمقرر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Pr="000A1E7E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Pr="000A1E7E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D8" w:rsidRDefault="003550D8" w:rsidP="00CA735C">
      <w:pPr>
        <w:spacing w:after="0" w:line="240" w:lineRule="auto"/>
      </w:pPr>
      <w:r>
        <w:separator/>
      </w:r>
    </w:p>
  </w:endnote>
  <w:endnote w:type="continuationSeparator" w:id="0">
    <w:p w:rsidR="003550D8" w:rsidRDefault="003550D8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D8" w:rsidRDefault="003550D8" w:rsidP="00CA735C">
      <w:pPr>
        <w:spacing w:after="0" w:line="240" w:lineRule="auto"/>
      </w:pPr>
      <w:r>
        <w:separator/>
      </w:r>
    </w:p>
  </w:footnote>
  <w:footnote w:type="continuationSeparator" w:id="0">
    <w:p w:rsidR="003550D8" w:rsidRDefault="003550D8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2854"/>
    <w:multiLevelType w:val="hybridMultilevel"/>
    <w:tmpl w:val="A2566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60775E"/>
    <w:multiLevelType w:val="hybridMultilevel"/>
    <w:tmpl w:val="3F2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85C17"/>
    <w:multiLevelType w:val="hybridMultilevel"/>
    <w:tmpl w:val="6E8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10764"/>
    <w:multiLevelType w:val="hybridMultilevel"/>
    <w:tmpl w:val="930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325CC"/>
    <w:multiLevelType w:val="hybridMultilevel"/>
    <w:tmpl w:val="883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A6E67"/>
    <w:multiLevelType w:val="hybridMultilevel"/>
    <w:tmpl w:val="4B6C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E64909"/>
    <w:multiLevelType w:val="hybridMultilevel"/>
    <w:tmpl w:val="556CA86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20BB5"/>
    <w:multiLevelType w:val="hybridMultilevel"/>
    <w:tmpl w:val="907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F29A9"/>
    <w:multiLevelType w:val="hybridMultilevel"/>
    <w:tmpl w:val="4D5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4"/>
  </w:num>
  <w:num w:numId="5">
    <w:abstractNumId w:val="5"/>
  </w:num>
  <w:num w:numId="6">
    <w:abstractNumId w:val="32"/>
  </w:num>
  <w:num w:numId="7">
    <w:abstractNumId w:val="6"/>
  </w:num>
  <w:num w:numId="8">
    <w:abstractNumId w:val="3"/>
  </w:num>
  <w:num w:numId="9">
    <w:abstractNumId w:val="9"/>
  </w:num>
  <w:num w:numId="10">
    <w:abstractNumId w:val="25"/>
  </w:num>
  <w:num w:numId="11">
    <w:abstractNumId w:val="18"/>
  </w:num>
  <w:num w:numId="12">
    <w:abstractNumId w:val="22"/>
  </w:num>
  <w:num w:numId="13">
    <w:abstractNumId w:val="0"/>
  </w:num>
  <w:num w:numId="14">
    <w:abstractNumId w:val="15"/>
  </w:num>
  <w:num w:numId="15">
    <w:abstractNumId w:val="7"/>
  </w:num>
  <w:num w:numId="16">
    <w:abstractNumId w:val="31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26"/>
  </w:num>
  <w:num w:numId="22">
    <w:abstractNumId w:val="11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1"/>
  </w:num>
  <w:num w:numId="28">
    <w:abstractNumId w:val="8"/>
  </w:num>
  <w:num w:numId="29">
    <w:abstractNumId w:val="13"/>
  </w:num>
  <w:num w:numId="30">
    <w:abstractNumId w:val="10"/>
  </w:num>
  <w:num w:numId="31">
    <w:abstractNumId w:val="2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17BCC"/>
    <w:rsid w:val="00022E38"/>
    <w:rsid w:val="000420A2"/>
    <w:rsid w:val="00060575"/>
    <w:rsid w:val="000A1E7E"/>
    <w:rsid w:val="000C5780"/>
    <w:rsid w:val="000D0C7B"/>
    <w:rsid w:val="001134A9"/>
    <w:rsid w:val="00125874"/>
    <w:rsid w:val="0013598D"/>
    <w:rsid w:val="00142045"/>
    <w:rsid w:val="00157BD8"/>
    <w:rsid w:val="002A437F"/>
    <w:rsid w:val="002B635E"/>
    <w:rsid w:val="002E5343"/>
    <w:rsid w:val="002F5392"/>
    <w:rsid w:val="00302DDF"/>
    <w:rsid w:val="0030691E"/>
    <w:rsid w:val="00340065"/>
    <w:rsid w:val="003550D8"/>
    <w:rsid w:val="00375111"/>
    <w:rsid w:val="00377EBE"/>
    <w:rsid w:val="003B153A"/>
    <w:rsid w:val="003B7A3D"/>
    <w:rsid w:val="00451536"/>
    <w:rsid w:val="00457DAF"/>
    <w:rsid w:val="004616F7"/>
    <w:rsid w:val="00466766"/>
    <w:rsid w:val="004A3C5E"/>
    <w:rsid w:val="004B5E39"/>
    <w:rsid w:val="004C6884"/>
    <w:rsid w:val="004F5E75"/>
    <w:rsid w:val="005073D4"/>
    <w:rsid w:val="005146F0"/>
    <w:rsid w:val="0053113C"/>
    <w:rsid w:val="00536E9F"/>
    <w:rsid w:val="00542B55"/>
    <w:rsid w:val="005545F4"/>
    <w:rsid w:val="00593BFD"/>
    <w:rsid w:val="005D63CE"/>
    <w:rsid w:val="005D6AED"/>
    <w:rsid w:val="00601328"/>
    <w:rsid w:val="00607725"/>
    <w:rsid w:val="00621459"/>
    <w:rsid w:val="00637FAA"/>
    <w:rsid w:val="00671845"/>
    <w:rsid w:val="00690612"/>
    <w:rsid w:val="00697DB2"/>
    <w:rsid w:val="006A2C09"/>
    <w:rsid w:val="006C280A"/>
    <w:rsid w:val="006E5E41"/>
    <w:rsid w:val="0072096C"/>
    <w:rsid w:val="007378F3"/>
    <w:rsid w:val="00782347"/>
    <w:rsid w:val="007C0C0D"/>
    <w:rsid w:val="008273E0"/>
    <w:rsid w:val="00835D79"/>
    <w:rsid w:val="00847C41"/>
    <w:rsid w:val="008544EE"/>
    <w:rsid w:val="00874013"/>
    <w:rsid w:val="008B21DB"/>
    <w:rsid w:val="008C24C4"/>
    <w:rsid w:val="008D4345"/>
    <w:rsid w:val="0092431D"/>
    <w:rsid w:val="009378A7"/>
    <w:rsid w:val="009B7AF9"/>
    <w:rsid w:val="009C7575"/>
    <w:rsid w:val="009D65EE"/>
    <w:rsid w:val="009E4BD6"/>
    <w:rsid w:val="009F15D8"/>
    <w:rsid w:val="00A74D3F"/>
    <w:rsid w:val="00A81AD1"/>
    <w:rsid w:val="00A87AF6"/>
    <w:rsid w:val="00AC7DCB"/>
    <w:rsid w:val="00AD641F"/>
    <w:rsid w:val="00AE36D1"/>
    <w:rsid w:val="00B03742"/>
    <w:rsid w:val="00B03952"/>
    <w:rsid w:val="00B17AD2"/>
    <w:rsid w:val="00B540AB"/>
    <w:rsid w:val="00B6096B"/>
    <w:rsid w:val="00B71CFF"/>
    <w:rsid w:val="00B7577E"/>
    <w:rsid w:val="00BE16CC"/>
    <w:rsid w:val="00BE510B"/>
    <w:rsid w:val="00BF23E1"/>
    <w:rsid w:val="00C83B30"/>
    <w:rsid w:val="00C945D7"/>
    <w:rsid w:val="00CA735C"/>
    <w:rsid w:val="00CD4C33"/>
    <w:rsid w:val="00CF08E2"/>
    <w:rsid w:val="00CF10A6"/>
    <w:rsid w:val="00CF7CC3"/>
    <w:rsid w:val="00D027B3"/>
    <w:rsid w:val="00D339B2"/>
    <w:rsid w:val="00D43EEF"/>
    <w:rsid w:val="00D94A6C"/>
    <w:rsid w:val="00DA20DE"/>
    <w:rsid w:val="00DA7906"/>
    <w:rsid w:val="00DE6ECB"/>
    <w:rsid w:val="00DF1E35"/>
    <w:rsid w:val="00E246F5"/>
    <w:rsid w:val="00E701B8"/>
    <w:rsid w:val="00E93410"/>
    <w:rsid w:val="00EB6961"/>
    <w:rsid w:val="00EE4688"/>
    <w:rsid w:val="00EE6BFB"/>
    <w:rsid w:val="00F0449D"/>
    <w:rsid w:val="00F075A8"/>
    <w:rsid w:val="00F511D2"/>
    <w:rsid w:val="00F6644B"/>
    <w:rsid w:val="00F8151D"/>
    <w:rsid w:val="00FB06A1"/>
    <w:rsid w:val="00FE3EA9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77</cp:revision>
  <dcterms:created xsi:type="dcterms:W3CDTF">2021-06-29T10:39:00Z</dcterms:created>
  <dcterms:modified xsi:type="dcterms:W3CDTF">2022-03-01T08:38:00Z</dcterms:modified>
</cp:coreProperties>
</file>