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F" w:rsidRDefault="00E320EF" w:rsidP="00E320EF">
      <w:pPr>
        <w:tabs>
          <w:tab w:val="right" w:pos="9026"/>
        </w:tabs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بغداد                                                                                            المرحلة </w:t>
      </w:r>
      <w:r>
        <w:rPr>
          <w:rFonts w:hint="cs"/>
          <w:b/>
          <w:bCs/>
          <w:sz w:val="24"/>
          <w:szCs w:val="24"/>
          <w:rtl/>
          <w:lang w:bidi="ar-IQ"/>
        </w:rPr>
        <w:t>الرابعة</w:t>
      </w:r>
      <w:r>
        <w:rPr>
          <w:b/>
          <w:bCs/>
          <w:sz w:val="24"/>
          <w:szCs w:val="24"/>
          <w:rtl/>
          <w:lang w:bidi="ar-IQ"/>
        </w:rPr>
        <w:tab/>
      </w:r>
    </w:p>
    <w:p w:rsidR="00E320EF" w:rsidRDefault="00E320EF" w:rsidP="00E320EF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كلية الادارة والاقتصاد                                                                           عدد الوحدات الفصلية :  </w:t>
      </w:r>
      <w:r>
        <w:rPr>
          <w:rFonts w:hint="cs"/>
          <w:b/>
          <w:bCs/>
          <w:sz w:val="24"/>
          <w:szCs w:val="24"/>
          <w:rtl/>
          <w:lang w:bidi="ar-IQ"/>
        </w:rPr>
        <w:t>2</w:t>
      </w:r>
    </w:p>
    <w:p w:rsidR="00E320EF" w:rsidRDefault="00E320EF" w:rsidP="00E320EF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قسم ادارة الاعمال                                                                                المادة :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ادارة المعرفة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E320EF" w:rsidRDefault="00E320EF" w:rsidP="00E320EF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الهدف ( الغاية) :</w:t>
      </w:r>
    </w:p>
    <w:p w:rsidR="00E320EF" w:rsidRDefault="00E320EF" w:rsidP="00E320EF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يهدف هذا المقرر الى تزويد الطلبة بنظره عامة ومعمقة حول المعرفة و رأس المال الفكري و عن ادارة المعرفة وعملياتها الاساسية واستراتيجياتها ومداخلها وعناصرها ونماذجها ودورها في الاقتصاد المعرفي وعلاقتها بكل من رأس المال الفكري والاجتماعي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E320EF" w:rsidRDefault="00E320EF" w:rsidP="00E320EF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</w:p>
    <w:p w:rsidR="00E320EF" w:rsidRDefault="00E320EF" w:rsidP="00E320EF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وصف المقرر:</w:t>
      </w:r>
    </w:p>
    <w:p w:rsidR="00E320EF" w:rsidRDefault="0098397B" w:rsidP="0098397B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يتناول هذا المقرر موضوعات حول المعرفة وخصائصها ونشأة وتطور ادارة المعرفة و مبرراتها ومدخل مفاهيمي حول ادارة المعرفة واهميتها واستراتيجيتها ومداخلها و علاقتها </w:t>
      </w:r>
      <w:r w:rsidR="009B4B0B">
        <w:rPr>
          <w:rFonts w:hint="cs"/>
          <w:b/>
          <w:bCs/>
          <w:sz w:val="28"/>
          <w:szCs w:val="28"/>
          <w:rtl/>
          <w:lang w:bidi="ar-IQ"/>
        </w:rPr>
        <w:t>بالأبداع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ورأس المال الفكري وعلاقته </w:t>
      </w:r>
      <w:r w:rsidR="009B4B0B">
        <w:rPr>
          <w:rFonts w:hint="cs"/>
          <w:b/>
          <w:bCs/>
          <w:sz w:val="28"/>
          <w:szCs w:val="28"/>
          <w:rtl/>
          <w:lang w:bidi="ar-IQ"/>
        </w:rPr>
        <w:t>بإدارة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المعرفة فضلا عن التعرف على ابراز النماذج العالمية لأدارة المعرفة وعلاقة ادارة المعرفة بالاقتصاد المعرفي ويتوقع ان يكون الطلب عند اكتمال المقرر قادرا على:</w:t>
      </w:r>
    </w:p>
    <w:p w:rsidR="0098397B" w:rsidRDefault="0098397B" w:rsidP="0098397B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- </w:t>
      </w:r>
      <w:r w:rsidR="00E17EAF">
        <w:rPr>
          <w:rFonts w:hint="cs"/>
          <w:b/>
          <w:bCs/>
          <w:sz w:val="28"/>
          <w:szCs w:val="28"/>
          <w:rtl/>
          <w:lang w:bidi="ar-IQ"/>
        </w:rPr>
        <w:t xml:space="preserve">فهم طبيعة المعرفة واهمية ادارتها </w:t>
      </w:r>
    </w:p>
    <w:p w:rsidR="00E17EAF" w:rsidRDefault="00E17EAF" w:rsidP="0098397B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 تشخيص الدور الذي تؤيده ادارة المعرفة في عمليات الاعمال</w:t>
      </w:r>
    </w:p>
    <w:p w:rsidR="00E17EAF" w:rsidRDefault="00E17EAF" w:rsidP="0098397B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 فهم دور ادارة المعرفة في التحول الى الاقتصاد المعرفي.</w:t>
      </w:r>
    </w:p>
    <w:p w:rsidR="00E17EAF" w:rsidRDefault="00E17EAF" w:rsidP="0098397B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 فهم العلاقة بين ادارة المعرفة وبين رأس المال الفكري والاجتماعي وبينها وبين الابداع.</w:t>
      </w:r>
    </w:p>
    <w:p w:rsidR="00E17EAF" w:rsidRDefault="00E17EAF" w:rsidP="0098397B">
      <w:pPr>
        <w:pBdr>
          <w:bottom w:val="single" w:sz="12" w:space="1" w:color="auto"/>
        </w:pBd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 الاطلاع على نماذج عالمية في ادارة المعرفة.</w:t>
      </w:r>
    </w:p>
    <w:p w:rsidR="00E320EF" w:rsidRDefault="00E320EF" w:rsidP="00E320EF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6237"/>
        <w:gridCol w:w="1384"/>
      </w:tblGrid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عنوان الفصل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عدد الساعات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17EAF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نشأة وتطور المعرفة </w:t>
            </w:r>
          </w:p>
          <w:p w:rsidR="00E17EAF" w:rsidRDefault="00E17EAF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 المبحث الاول: </w:t>
            </w:r>
            <w:r w:rsidR="009B4B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نشاه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وتطور المعرفة </w:t>
            </w:r>
            <w:r w:rsidR="009B4B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تأريخا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E17EAF" w:rsidRDefault="00E17EA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الثاني: تطور المعرفة وفقاً للمدارس التنظيمية.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17EAF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المعرفة / مفاهيم اساسية </w:t>
            </w:r>
          </w:p>
          <w:p w:rsidR="00E17EAF" w:rsidRDefault="00E17EAF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الاول: مفهوم واهمية واهداف وخصائص المعرفة</w:t>
            </w:r>
          </w:p>
          <w:p w:rsidR="00E17EAF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-المبحث الثاني: انواع ومداخل ونظريات المعرفة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المعرفة/ مفاهيم اساسية</w:t>
            </w:r>
          </w:p>
          <w:p w:rsidR="001D44B9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-المبحث الاول: </w:t>
            </w:r>
            <w:r w:rsidR="009B4B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نشأة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وتطور مفهوم ادارة المعرفة واهمياتها واهدافها.</w:t>
            </w:r>
          </w:p>
          <w:p w:rsidR="001D44B9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الثاني: مداخل ادارة المعرفة.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عمليات ادارة المعرفة ودورة حياتها</w:t>
            </w:r>
          </w:p>
          <w:p w:rsidR="001D44B9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الاول: عمليات ادارة المعرفة</w:t>
            </w:r>
          </w:p>
          <w:p w:rsidR="001D44B9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الثاني: دورة حياة ادارة المعرفة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عناصر ادارة المعرفة و استراتيجياتها </w:t>
            </w:r>
          </w:p>
          <w:p w:rsidR="001D44B9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 المبحث الاول: عناصر ادارة المعرفة </w:t>
            </w:r>
          </w:p>
          <w:p w:rsidR="001D44B9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الثاني: استراتيجيات ادارة المعرفة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ادارة المعرفة</w:t>
            </w:r>
          </w:p>
          <w:p w:rsidR="001D44B9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الاول: تحديات ادارة المعرفة.</w:t>
            </w:r>
          </w:p>
          <w:p w:rsidR="001D44B9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-المبحث الثاني: بناء نظام ادارة المعرفة.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اقتصاد المعرفة</w:t>
            </w:r>
          </w:p>
          <w:p w:rsidR="001D44B9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الاول: مفاهيم اساسية لاقتصاد المعرفة.</w:t>
            </w:r>
          </w:p>
          <w:p w:rsidR="001D44B9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-المبحث الثاني: ادارة المعرفة والاقتصاد المعرفي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ادارة المعرفة والميزة التنافسية </w:t>
            </w:r>
          </w:p>
          <w:p w:rsidR="001D44B9" w:rsidRDefault="001D44B9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 المبحث الاول: </w:t>
            </w:r>
            <w:r w:rsidR="009B4B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 ادارة المعرفة في ادارة الاعمال.</w:t>
            </w:r>
          </w:p>
          <w:p w:rsidR="001D44B9" w:rsidRDefault="001D44B9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الثاني:</w:t>
            </w:r>
            <w:r w:rsidR="009B4B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توظيف ادارة المعرفة لتحقيق الميزة التنافسية.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المعرفة وانماط  الادارة المعاصرة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اولا: ادارة المعرفة وادارة الدورة الشاملة.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ثانيا: ادارة المعرفة وادارة المادة الهندسية.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ثالثا: ادارة نظم المعلومات الادارية.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رابعاً: ادارة علاقات الزبون.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خامساً: ادارة راس المال الفكري.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سادساً: ادارة الابداع التنظيمي.</w:t>
            </w:r>
          </w:p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سابعاً: ادارة المسؤولية الاجتماعية.</w:t>
            </w:r>
          </w:p>
          <w:p w:rsidR="009B4B0B" w:rsidRDefault="009B4B0B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ثامناً: ادارة المعرفة وصناع المعرفة.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9B4B0B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9B4B0B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نماذج عالمية لأدارة المعرفة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F" w:rsidRDefault="009B4B0B" w:rsidP="0018307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E320EF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F" w:rsidRDefault="00E320EF" w:rsidP="0018307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F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قياس وتقييم برامج ادارة المعرفة </w:t>
            </w:r>
          </w:p>
          <w:p w:rsidR="009B4B0B" w:rsidRDefault="009B4B0B" w:rsidP="009B4B0B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المبحث الاول: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مقاييس ادراكية لأدارة المعرفة.</w:t>
            </w:r>
          </w:p>
          <w:p w:rsidR="009B4B0B" w:rsidRDefault="009B4B0B" w:rsidP="009B4B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 المبحث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الثاني: مقاييس مالية لأدارة المعرفة.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F" w:rsidRDefault="009B4B0B" w:rsidP="0018307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9B4B0B" w:rsidTr="009B4B0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B" w:rsidRDefault="009B4B0B" w:rsidP="0018307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B" w:rsidRDefault="009B4B0B" w:rsidP="0018307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  <w:bookmarkStart w:id="0" w:name="_GoBack"/>
            <w:bookmarkEnd w:id="0"/>
          </w:p>
        </w:tc>
      </w:tr>
    </w:tbl>
    <w:p w:rsidR="00E320EF" w:rsidRDefault="00E320EF" w:rsidP="00E320EF">
      <w:pPr>
        <w:rPr>
          <w:b/>
          <w:bCs/>
          <w:sz w:val="28"/>
          <w:szCs w:val="28"/>
          <w:rtl/>
          <w:lang w:bidi="ar-IQ"/>
        </w:rPr>
      </w:pPr>
    </w:p>
    <w:p w:rsidR="00F07DBF" w:rsidRDefault="00F07DBF">
      <w:pPr>
        <w:rPr>
          <w:rFonts w:hint="cs"/>
          <w:lang w:bidi="ar-IQ"/>
        </w:rPr>
      </w:pPr>
    </w:p>
    <w:sectPr w:rsidR="00F07DBF" w:rsidSect="006965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9C"/>
    <w:multiLevelType w:val="hybridMultilevel"/>
    <w:tmpl w:val="FF3C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6C4"/>
    <w:multiLevelType w:val="hybridMultilevel"/>
    <w:tmpl w:val="97AA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811EF"/>
    <w:multiLevelType w:val="hybridMultilevel"/>
    <w:tmpl w:val="51B6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F4AB5"/>
    <w:multiLevelType w:val="hybridMultilevel"/>
    <w:tmpl w:val="AE88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9362B"/>
    <w:multiLevelType w:val="hybridMultilevel"/>
    <w:tmpl w:val="BDEA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7007B"/>
    <w:multiLevelType w:val="hybridMultilevel"/>
    <w:tmpl w:val="1D5236A0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648D38E8"/>
    <w:multiLevelType w:val="hybridMultilevel"/>
    <w:tmpl w:val="9206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17E82"/>
    <w:multiLevelType w:val="hybridMultilevel"/>
    <w:tmpl w:val="0BF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B3E25"/>
    <w:multiLevelType w:val="hybridMultilevel"/>
    <w:tmpl w:val="AD76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61AEC"/>
    <w:multiLevelType w:val="hybridMultilevel"/>
    <w:tmpl w:val="273A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C7"/>
    <w:rsid w:val="001D44B9"/>
    <w:rsid w:val="00696569"/>
    <w:rsid w:val="00725FC7"/>
    <w:rsid w:val="0098397B"/>
    <w:rsid w:val="009B4B0B"/>
    <w:rsid w:val="00E17EAF"/>
    <w:rsid w:val="00E320EF"/>
    <w:rsid w:val="00F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E320EF"/>
  </w:style>
  <w:style w:type="paragraph" w:styleId="a4">
    <w:name w:val="List Paragraph"/>
    <w:basedOn w:val="a"/>
    <w:uiPriority w:val="34"/>
    <w:qFormat/>
    <w:rsid w:val="00E320EF"/>
    <w:pPr>
      <w:ind w:left="720"/>
      <w:contextualSpacing/>
    </w:pPr>
  </w:style>
  <w:style w:type="table" w:styleId="a5">
    <w:name w:val="Table Grid"/>
    <w:basedOn w:val="a1"/>
    <w:uiPriority w:val="59"/>
    <w:rsid w:val="00E3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E320EF"/>
  </w:style>
  <w:style w:type="paragraph" w:styleId="a4">
    <w:name w:val="List Paragraph"/>
    <w:basedOn w:val="a"/>
    <w:uiPriority w:val="34"/>
    <w:qFormat/>
    <w:rsid w:val="00E320EF"/>
    <w:pPr>
      <w:ind w:left="720"/>
      <w:contextualSpacing/>
    </w:pPr>
  </w:style>
  <w:style w:type="table" w:styleId="a5">
    <w:name w:val="Table Grid"/>
    <w:basedOn w:val="a1"/>
    <w:uiPriority w:val="59"/>
    <w:rsid w:val="00E3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2014-02-23T06:52:00Z</dcterms:created>
  <dcterms:modified xsi:type="dcterms:W3CDTF">2014-02-23T07:39:00Z</dcterms:modified>
</cp:coreProperties>
</file>