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3" w:rsidRDefault="00DF5633" w:rsidP="0090083E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السنة الثالثة </w:t>
      </w:r>
      <w:r>
        <w:rPr>
          <w:b/>
          <w:bCs/>
          <w:sz w:val="24"/>
          <w:szCs w:val="24"/>
          <w:rtl/>
          <w:lang w:bidi="ar-IQ"/>
        </w:rPr>
        <w:tab/>
      </w:r>
    </w:p>
    <w:p w:rsidR="00DF5633" w:rsidRDefault="00DF5633" w:rsidP="00A00400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 w:rsidR="00A00400">
        <w:rPr>
          <w:rFonts w:hint="cs"/>
          <w:b/>
          <w:bCs/>
          <w:sz w:val="24"/>
          <w:szCs w:val="24"/>
          <w:rtl/>
          <w:lang w:bidi="ar-IQ"/>
        </w:rPr>
        <w:t>2</w:t>
      </w:r>
    </w:p>
    <w:p w:rsidR="00DF5633" w:rsidRDefault="00DF5633" w:rsidP="0090083E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التمويل والمصارف                                 </w:t>
      </w:r>
      <w:r w:rsidR="006726AE">
        <w:rPr>
          <w:rFonts w:hint="cs"/>
          <w:b/>
          <w:bCs/>
          <w:sz w:val="24"/>
          <w:szCs w:val="24"/>
          <w:rtl/>
          <w:lang w:bidi="ar-IQ"/>
        </w:rPr>
        <w:t xml:space="preserve">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       </w:t>
      </w:r>
      <w:r w:rsidR="00C05769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 xml:space="preserve">المادة : </w:t>
      </w:r>
      <w:r w:rsidR="00A00400">
        <w:rPr>
          <w:rFonts w:hint="cs"/>
          <w:b/>
          <w:bCs/>
          <w:sz w:val="24"/>
          <w:szCs w:val="24"/>
          <w:rtl/>
          <w:lang w:bidi="ar-IQ"/>
        </w:rPr>
        <w:t>تقييم قرارات الاستثمار</w:t>
      </w:r>
    </w:p>
    <w:p w:rsidR="00DF5633" w:rsidRPr="00C05769" w:rsidRDefault="00A00400" w:rsidP="003E5174">
      <w:pPr>
        <w:tabs>
          <w:tab w:val="left" w:pos="1977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تعريف الطالب بأهمية الاستثمارات واليات تقييم المشروعات الاستثمارية وقياس العائد والمخاطرة للاستثمارات الحقيقية بالاضافة الى دراسة تقنيات التقييم الاستثماري بما يحقق الارتقاء بالواقع الاستثماري للبلد.</w:t>
      </w:r>
    </w:p>
    <w:p w:rsidR="00337464" w:rsidRDefault="00337464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A00400" w:rsidRDefault="00A00400" w:rsidP="00A00400">
      <w:pPr>
        <w:rPr>
          <w:sz w:val="30"/>
          <w:szCs w:val="30"/>
          <w:rtl/>
          <w:lang w:bidi="ar-IQ"/>
        </w:rPr>
      </w:pPr>
      <w:r w:rsidRPr="00C2041D">
        <w:rPr>
          <w:rFonts w:hint="cs"/>
          <w:sz w:val="30"/>
          <w:szCs w:val="30"/>
          <w:rtl/>
          <w:lang w:bidi="ar-IQ"/>
        </w:rPr>
        <w:t xml:space="preserve">تقييم القرارات الاستثمارية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1560"/>
        <w:gridCol w:w="1417"/>
        <w:gridCol w:w="4361"/>
      </w:tblGrid>
      <w:tr w:rsidR="00A00400" w:rsidTr="00EE2F4E">
        <w:tc>
          <w:tcPr>
            <w:tcW w:w="1184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1560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عدد الوحدات </w:t>
            </w:r>
          </w:p>
        </w:tc>
        <w:tc>
          <w:tcPr>
            <w:tcW w:w="1417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الاسابيع </w:t>
            </w:r>
          </w:p>
        </w:tc>
        <w:tc>
          <w:tcPr>
            <w:tcW w:w="4361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المفردات </w:t>
            </w:r>
          </w:p>
        </w:tc>
      </w:tr>
      <w:tr w:rsidR="00A00400" w:rsidTr="00956E07">
        <w:trPr>
          <w:trHeight w:val="3301"/>
        </w:trPr>
        <w:tc>
          <w:tcPr>
            <w:tcW w:w="1184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1560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(3) اسبوع</w:t>
            </w:r>
          </w:p>
        </w:tc>
        <w:tc>
          <w:tcPr>
            <w:tcW w:w="4361" w:type="dxa"/>
          </w:tcPr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مفردات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مادة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تقييم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قرارات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الفصل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الاول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: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مفهوم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وادارة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:-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1-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مفهوم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وتعريف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2-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محددات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3-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الهيكل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التنظمي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للادارة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والقرارات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4-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انواع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5-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ادوات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</w:tc>
      </w:tr>
      <w:tr w:rsidR="00A00400" w:rsidTr="00956E07">
        <w:trPr>
          <w:trHeight w:val="2279"/>
        </w:trPr>
        <w:tc>
          <w:tcPr>
            <w:tcW w:w="1184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(3) اسبوع</w:t>
            </w:r>
          </w:p>
        </w:tc>
        <w:tc>
          <w:tcPr>
            <w:tcW w:w="4361" w:type="dxa"/>
          </w:tcPr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الفصل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الثاني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: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تقييم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المستقبلية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والحالية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وعلاقتها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بالقيمة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الزمنية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للنقود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:-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1-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قيمة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النقود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،المفهوم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،وحدات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القياس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2-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القيمة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المستقبلية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والالقيمة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الحالية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للنقود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3-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تقييم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المستقبلية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والحالية</w:t>
            </w:r>
          </w:p>
        </w:tc>
      </w:tr>
      <w:tr w:rsidR="00A00400" w:rsidTr="00956E07">
        <w:trPr>
          <w:trHeight w:val="3736"/>
        </w:trPr>
        <w:tc>
          <w:tcPr>
            <w:tcW w:w="1184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lastRenderedPageBreak/>
              <w:t>3</w:t>
            </w:r>
          </w:p>
        </w:tc>
        <w:tc>
          <w:tcPr>
            <w:tcW w:w="1560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(3) اسبوع</w:t>
            </w:r>
          </w:p>
        </w:tc>
        <w:tc>
          <w:tcPr>
            <w:tcW w:w="4361" w:type="dxa"/>
          </w:tcPr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الفصل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الثالث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: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قياس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العائد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والمخاطر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في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:-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1-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العائد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على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2-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المخاطر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على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3-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مصادر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مخاطر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4-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قياس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العائد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المتوقع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والمخاطر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في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</w:p>
        </w:tc>
      </w:tr>
      <w:tr w:rsidR="00A00400" w:rsidTr="00EE2F4E">
        <w:tc>
          <w:tcPr>
            <w:tcW w:w="1184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1560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(3) اسبوع</w:t>
            </w:r>
          </w:p>
        </w:tc>
        <w:tc>
          <w:tcPr>
            <w:tcW w:w="4361" w:type="dxa"/>
          </w:tcPr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الفصل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الرابع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: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تقنيات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المفاضلة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بين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الحقيقية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:-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1-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التقنيات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لاتعتمد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على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معدلات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التضخم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أ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فترة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الاسترداد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ب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العائد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الحالي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2-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التقنيات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تعتمد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على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معدلات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التضخم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أ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صافي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القيمة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الحالية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ب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معدل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العائد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الزمني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ج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دليل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الربحية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3- 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تقييم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التقنيات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لاتعتمد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على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معدلات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التضخم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.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4- 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تقييم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التقنيات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التي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تعتمد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على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معدلات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التضخم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ab/>
              <w:t>.</w:t>
            </w:r>
          </w:p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</w:p>
        </w:tc>
      </w:tr>
      <w:tr w:rsidR="00A00400" w:rsidTr="00EE2F4E">
        <w:tc>
          <w:tcPr>
            <w:tcW w:w="1184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1560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(3) اسبوع</w:t>
            </w:r>
          </w:p>
        </w:tc>
        <w:tc>
          <w:tcPr>
            <w:tcW w:w="4361" w:type="dxa"/>
          </w:tcPr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الفصل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الخامس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: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تقييم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الاستثمارات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المالية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:-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1-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تقييم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الاوراق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المالية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</w:p>
          <w:p w:rsidR="00A00400" w:rsidRPr="00C2041D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أ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تقييم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السندات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.</w:t>
            </w:r>
          </w:p>
          <w:p w:rsidR="00A00400" w:rsidRDefault="00A00400" w:rsidP="00EE2F4E">
            <w:pPr>
              <w:rPr>
                <w:sz w:val="30"/>
                <w:szCs w:val="30"/>
                <w:rtl/>
                <w:lang w:bidi="ar-IQ"/>
              </w:rPr>
            </w:pP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 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ب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>-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تقييم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</w:t>
            </w:r>
            <w:r w:rsidRPr="00C2041D">
              <w:rPr>
                <w:rFonts w:cs="Arial" w:hint="cs"/>
                <w:sz w:val="30"/>
                <w:szCs w:val="30"/>
                <w:rtl/>
                <w:lang w:bidi="ar-IQ"/>
              </w:rPr>
              <w:t>الاسهم</w:t>
            </w:r>
            <w:r w:rsidRPr="00C2041D">
              <w:rPr>
                <w:rFonts w:cs="Arial"/>
                <w:sz w:val="30"/>
                <w:szCs w:val="30"/>
                <w:rtl/>
                <w:lang w:bidi="ar-IQ"/>
              </w:rPr>
              <w:t xml:space="preserve"> .</w:t>
            </w:r>
          </w:p>
        </w:tc>
      </w:tr>
    </w:tbl>
    <w:p w:rsidR="00A00400" w:rsidRPr="00C2041D" w:rsidRDefault="00A00400" w:rsidP="00A00400">
      <w:pPr>
        <w:rPr>
          <w:sz w:val="30"/>
          <w:szCs w:val="30"/>
          <w:lang w:bidi="ar-IQ"/>
        </w:rPr>
      </w:pPr>
    </w:p>
    <w:p w:rsidR="00337464" w:rsidRPr="00C36223" w:rsidRDefault="00337464" w:rsidP="00337464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bookmarkStart w:id="0" w:name="_GoBack"/>
      <w:bookmarkEnd w:id="0"/>
    </w:p>
    <w:p w:rsidR="003E5174" w:rsidRPr="00337464" w:rsidRDefault="003E5174" w:rsidP="00337464">
      <w:pPr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</w:p>
    <w:p w:rsidR="00AF3E94" w:rsidRPr="003E5174" w:rsidRDefault="00AF3E94" w:rsidP="00AF3E94">
      <w:pPr>
        <w:rPr>
          <w:rFonts w:eastAsia="Times New Roman"/>
          <w:b/>
          <w:bCs/>
          <w:sz w:val="36"/>
          <w:szCs w:val="36"/>
          <w:rtl/>
          <w:lang w:bidi="ar-IQ"/>
        </w:rPr>
      </w:pPr>
    </w:p>
    <w:sectPr w:rsidR="00AF3E94" w:rsidRPr="003E5174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FF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6C4"/>
    <w:multiLevelType w:val="hybridMultilevel"/>
    <w:tmpl w:val="97A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38BC"/>
    <w:multiLevelType w:val="hybridMultilevel"/>
    <w:tmpl w:val="673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3201"/>
    <w:multiLevelType w:val="hybridMultilevel"/>
    <w:tmpl w:val="025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11EF"/>
    <w:multiLevelType w:val="hybridMultilevel"/>
    <w:tmpl w:val="51B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4AB5"/>
    <w:multiLevelType w:val="hybridMultilevel"/>
    <w:tmpl w:val="AE8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683B"/>
    <w:multiLevelType w:val="hybridMultilevel"/>
    <w:tmpl w:val="C95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362B"/>
    <w:multiLevelType w:val="hybridMultilevel"/>
    <w:tmpl w:val="BDE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007B"/>
    <w:multiLevelType w:val="hybridMultilevel"/>
    <w:tmpl w:val="1D5236A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648D38E8"/>
    <w:multiLevelType w:val="hybridMultilevel"/>
    <w:tmpl w:val="920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33853"/>
    <w:multiLevelType w:val="hybridMultilevel"/>
    <w:tmpl w:val="1F1A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17E82"/>
    <w:multiLevelType w:val="hybridMultilevel"/>
    <w:tmpl w:val="0B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B3E25"/>
    <w:multiLevelType w:val="hybridMultilevel"/>
    <w:tmpl w:val="AD7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61AEC"/>
    <w:multiLevelType w:val="hybridMultilevel"/>
    <w:tmpl w:val="27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05769"/>
    <w:multiLevelType w:val="hybridMultilevel"/>
    <w:tmpl w:val="42A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06997"/>
    <w:multiLevelType w:val="hybridMultilevel"/>
    <w:tmpl w:val="37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23DF4"/>
    <w:multiLevelType w:val="hybridMultilevel"/>
    <w:tmpl w:val="E0B65F62"/>
    <w:lvl w:ilvl="0" w:tplc="3AC61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22B91"/>
    <w:multiLevelType w:val="hybridMultilevel"/>
    <w:tmpl w:val="331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51C4A"/>
    <w:multiLevelType w:val="hybridMultilevel"/>
    <w:tmpl w:val="755E2BD0"/>
    <w:lvl w:ilvl="0" w:tplc="E6D076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4"/>
    <w:rsid w:val="00095EB6"/>
    <w:rsid w:val="00337464"/>
    <w:rsid w:val="00363C44"/>
    <w:rsid w:val="003E5174"/>
    <w:rsid w:val="00463277"/>
    <w:rsid w:val="006726AE"/>
    <w:rsid w:val="00696569"/>
    <w:rsid w:val="00732FD8"/>
    <w:rsid w:val="008320FD"/>
    <w:rsid w:val="008602C7"/>
    <w:rsid w:val="008A568B"/>
    <w:rsid w:val="0090083E"/>
    <w:rsid w:val="00956E07"/>
    <w:rsid w:val="00A00400"/>
    <w:rsid w:val="00AF3E94"/>
    <w:rsid w:val="00BB36E2"/>
    <w:rsid w:val="00C05769"/>
    <w:rsid w:val="00CC4632"/>
    <w:rsid w:val="00DF5633"/>
    <w:rsid w:val="00F07DBF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dalia</cp:lastModifiedBy>
  <cp:revision>19</cp:revision>
  <cp:lastPrinted>2016-12-21T08:13:00Z</cp:lastPrinted>
  <dcterms:created xsi:type="dcterms:W3CDTF">2014-02-23T07:56:00Z</dcterms:created>
  <dcterms:modified xsi:type="dcterms:W3CDTF">2016-12-21T08:42:00Z</dcterms:modified>
</cp:coreProperties>
</file>