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06141C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06141C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DF5633" w:rsidRDefault="00DF5633" w:rsidP="0090083E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06141C">
        <w:rPr>
          <w:rFonts w:hint="cs"/>
          <w:b/>
          <w:bCs/>
          <w:sz w:val="24"/>
          <w:szCs w:val="24"/>
          <w:rtl/>
          <w:lang w:bidi="ar-IQ"/>
        </w:rPr>
        <w:t>معايير مصرفية دولية</w:t>
      </w:r>
    </w:p>
    <w:p w:rsidR="00337464" w:rsidRDefault="0006141C" w:rsidP="0033746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يهدف المقرر الى دراسة دور المعايير المحاسبية المصرفية واهميتها في اعداد كشوفات مالية وفقاً لاحدث المعايير المحاسبية والمقررات المصرفية.</w:t>
      </w:r>
    </w:p>
    <w:p w:rsidR="0006141C" w:rsidRDefault="0006141C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37464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6141C" w:rsidRPr="001109C4" w:rsidRDefault="0006141C" w:rsidP="0006141C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1109C4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معايير مصرفية دولية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1490"/>
        <w:gridCol w:w="1511"/>
        <w:gridCol w:w="4786"/>
      </w:tblGrid>
      <w:tr w:rsidR="0006141C" w:rsidRPr="001109C4" w:rsidTr="00414B95">
        <w:tc>
          <w:tcPr>
            <w:tcW w:w="735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 </w:t>
            </w:r>
          </w:p>
        </w:tc>
        <w:tc>
          <w:tcPr>
            <w:tcW w:w="1490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عدد الوحدات</w:t>
            </w:r>
          </w:p>
        </w:tc>
        <w:tc>
          <w:tcPr>
            <w:tcW w:w="1511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الاسابيع </w:t>
            </w:r>
          </w:p>
        </w:tc>
        <w:tc>
          <w:tcPr>
            <w:tcW w:w="4786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المفردات</w:t>
            </w:r>
          </w:p>
        </w:tc>
      </w:tr>
      <w:tr w:rsidR="0006141C" w:rsidRPr="001109C4" w:rsidTr="00414B95">
        <w:tc>
          <w:tcPr>
            <w:tcW w:w="735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490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511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(4)اسبوع</w:t>
            </w:r>
          </w:p>
        </w:tc>
        <w:tc>
          <w:tcPr>
            <w:tcW w:w="4786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المعايير مصرفية دولية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                                      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الفصل الاول : مقدمة في المحاسبة الدولية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06141C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مفهوم المحاسبة الدولية</w:t>
            </w:r>
          </w:p>
          <w:p w:rsidR="0006141C" w:rsidRPr="001109C4" w:rsidRDefault="0006141C" w:rsidP="0006141C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06141C" w:rsidRPr="001109C4" w:rsidRDefault="0006141C" w:rsidP="0006141C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INTERNATIONAL ACCOUNTING STANDARD BOARD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  <w:p w:rsidR="0006141C" w:rsidRPr="001109C4" w:rsidRDefault="0006141C" w:rsidP="0006141C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الاطار المفاهيمي المحاسبي الدولي           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IASB FRAMEWORK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IAS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6141C" w:rsidRPr="001109C4" w:rsidTr="0006141C">
        <w:trPr>
          <w:trHeight w:val="4420"/>
        </w:trPr>
        <w:tc>
          <w:tcPr>
            <w:tcW w:w="735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90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2</w:t>
            </w:r>
          </w:p>
        </w:tc>
        <w:tc>
          <w:tcPr>
            <w:tcW w:w="1511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(3)اسبوع</w:t>
            </w:r>
          </w:p>
        </w:tc>
        <w:tc>
          <w:tcPr>
            <w:tcW w:w="4786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العرض في القوائم المالية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التقارير المرحلية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الافصاح عن الوحدات المرتبطة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ترجمة العملات  الاجنبية    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06141C" w:rsidRPr="001109C4" w:rsidTr="00414B95">
        <w:tc>
          <w:tcPr>
            <w:tcW w:w="735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3</w:t>
            </w:r>
          </w:p>
        </w:tc>
        <w:tc>
          <w:tcPr>
            <w:tcW w:w="1490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511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(4)اسبوع</w:t>
            </w:r>
          </w:p>
        </w:tc>
        <w:tc>
          <w:tcPr>
            <w:tcW w:w="4786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محاسبة منافع الموظفين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الادوات المالية : الافصاح والعرض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عقود التأمين                                        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ملكية الاستثمار                                       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06141C" w:rsidRPr="001109C4" w:rsidTr="00414B95">
        <w:tc>
          <w:tcPr>
            <w:tcW w:w="735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90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511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(4)اسبوع</w:t>
            </w:r>
          </w:p>
        </w:tc>
        <w:tc>
          <w:tcPr>
            <w:tcW w:w="4786" w:type="dxa"/>
          </w:tcPr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Application of international accounting standards to banks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  <w:t>عولمة المصارف والصعوبات التطبيقية .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  <w:t>دراسة تطبيقات دولية مقارنة .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  <w:t>الموازنات للمصارف الدولية .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  <w:t>تقييم اداء للمصارف الدولية .</w:t>
            </w:r>
          </w:p>
          <w:p w:rsidR="0006141C" w:rsidRPr="001109C4" w:rsidRDefault="0006141C" w:rsidP="00414B9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06141C" w:rsidRPr="001109C4" w:rsidRDefault="0006141C" w:rsidP="0006141C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337464" w:rsidRPr="0006141C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</w:p>
    <w:p w:rsidR="003E5174" w:rsidRPr="00337464" w:rsidRDefault="003E5174" w:rsidP="00337464">
      <w:pP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p w:rsidR="00AF3E94" w:rsidRPr="003E5174" w:rsidRDefault="00AF3E94" w:rsidP="00AF3E94">
      <w:pPr>
        <w:rPr>
          <w:rFonts w:eastAsia="Times New Roman"/>
          <w:b/>
          <w:bCs/>
          <w:sz w:val="36"/>
          <w:szCs w:val="36"/>
          <w:rtl/>
          <w:lang w:bidi="ar-IQ"/>
        </w:rPr>
      </w:pPr>
    </w:p>
    <w:sectPr w:rsidR="00AF3E94" w:rsidRPr="003E5174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6141C"/>
    <w:rsid w:val="00095EB6"/>
    <w:rsid w:val="00337464"/>
    <w:rsid w:val="00363C44"/>
    <w:rsid w:val="003E5174"/>
    <w:rsid w:val="00463277"/>
    <w:rsid w:val="006726AE"/>
    <w:rsid w:val="00696569"/>
    <w:rsid w:val="00732FD8"/>
    <w:rsid w:val="008320FD"/>
    <w:rsid w:val="008602C7"/>
    <w:rsid w:val="008A568B"/>
    <w:rsid w:val="0090083E"/>
    <w:rsid w:val="00AF3E94"/>
    <w:rsid w:val="00BB36E2"/>
    <w:rsid w:val="00C05769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18</cp:revision>
  <cp:lastPrinted>2016-12-21T08:13:00Z</cp:lastPrinted>
  <dcterms:created xsi:type="dcterms:W3CDTF">2014-02-23T07:56:00Z</dcterms:created>
  <dcterms:modified xsi:type="dcterms:W3CDTF">2016-12-21T08:49:00Z</dcterms:modified>
</cp:coreProperties>
</file>