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78" w:rsidRPr="00EE06F8" w:rsidRDefault="00B63B78" w:rsidP="00B63B78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63B78" w:rsidRPr="00DB131F" w:rsidTr="00587B7D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B63B78" w:rsidRDefault="00B63B78" w:rsidP="00B63B7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B63B78" w:rsidRDefault="00B63B78" w:rsidP="00B63B7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63B78" w:rsidRPr="00DB131F" w:rsidTr="00587B7D">
        <w:trPr>
          <w:trHeight w:val="794"/>
        </w:trPr>
        <w:tc>
          <w:tcPr>
            <w:tcW w:w="9720" w:type="dxa"/>
            <w:shd w:val="clear" w:color="auto" w:fill="A7BFDE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B63B78" w:rsidRPr="00E734E3" w:rsidRDefault="00B63B78" w:rsidP="00B63B7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0726F9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726F9" w:rsidRPr="00714598" w:rsidRDefault="000726F9" w:rsidP="004E7B7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459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جامعة بغداد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/ كلية الادارة والاقتصاد 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726F9" w:rsidRPr="00714598" w:rsidRDefault="000726F9" w:rsidP="004E7B7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4598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القسم العلمي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 الادارة الصناعية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726F9" w:rsidRPr="00714598" w:rsidRDefault="000726F9" w:rsidP="004E7B7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انتاج وعمليات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726F9" w:rsidRPr="00714598" w:rsidRDefault="000726F9" w:rsidP="000726F9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 xml:space="preserve">QSB,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>Tora</w:t>
            </w:r>
            <w:proofErr w:type="spellEnd"/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726F9" w:rsidRPr="00714598" w:rsidRDefault="000726F9" w:rsidP="000726F9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محاظرات يوميه 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726F9" w:rsidRPr="00714598" w:rsidRDefault="000726F9" w:rsidP="004E7B7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الفصل الثاني/2013-2014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726F9" w:rsidRPr="00714598" w:rsidRDefault="000726F9" w:rsidP="004E7B7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>3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ساعات اسبوعيا/ 96 ساعة دراسية كلي 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726F9" w:rsidRPr="00714598" w:rsidRDefault="000726F9" w:rsidP="001F72C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2/</w:t>
            </w:r>
            <w:r w:rsidR="001F72C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12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/2014</w:t>
            </w:r>
          </w:p>
        </w:tc>
      </w:tr>
      <w:tr w:rsidR="000726F9" w:rsidRPr="00DB131F" w:rsidTr="00587B7D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تهيئة موارد بشرية قادرة على العمل في المنشآت الصناعية والعامه تمتلك القدرة على </w:t>
            </w:r>
            <w:r w:rsidRPr="00ED3097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المشاكل الإدارية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والانتاجية </w:t>
            </w:r>
            <w:r w:rsidRPr="00ED3097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باستخدام الأساليب الكمية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(الرياضية والإحصائية) لمساعدة متخذ القرار في اتخاذ القرار الأمثل في ظل ندرة الموارد المتاحة</w:t>
            </w: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63B78" w:rsidRPr="0020555A" w:rsidRDefault="00B63B78" w:rsidP="00B63B78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63B78" w:rsidRPr="00DB131F" w:rsidTr="00587B7D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0726F9" w:rsidRPr="00DB131F" w:rsidTr="00587B7D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666EFF" w:rsidRDefault="000726F9" w:rsidP="00666EFF">
            <w:pPr>
              <w:autoSpaceDE w:val="0"/>
              <w:autoSpaceDN w:val="0"/>
              <w:adjustRightInd w:val="0"/>
              <w:ind w:left="61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</w:t>
            </w:r>
            <w:r w:rsidRPr="00192FB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666EFF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موارد بشرية ذات معرفة </w:t>
            </w:r>
            <w:r w:rsidR="00666E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في مجال الصناعه والادارة</w:t>
            </w:r>
          </w:p>
          <w:p w:rsidR="000726F9" w:rsidRPr="00192FB9" w:rsidRDefault="000726F9" w:rsidP="00666EF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192FB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Pr="00192FB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92FB9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معالجة المشاكل الإدارية باستخدام الأساليب الكمية (الرياضية والإحصائية)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زيادة المعرفة لدى الطالب من خلال مناقشة النتائج وتفسيرها</w:t>
            </w:r>
          </w:p>
          <w:p w:rsidR="000726F9" w:rsidRPr="00DB131F" w:rsidRDefault="000726F9" w:rsidP="00666EF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0726F9" w:rsidRPr="00DB131F" w:rsidTr="00587B7D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0726F9" w:rsidRPr="00DB131F" w:rsidRDefault="000726F9" w:rsidP="00666EF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66E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مهارات معرفية متخصصة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66E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 كمية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66E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تقنيات رياضية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0726F9" w:rsidRPr="00DB131F" w:rsidTr="00587B7D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726F9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350AEB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726F9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350AEB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الامتحانات اليومية والشهرية  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472C0B" w:rsidRPr="00DB131F" w:rsidRDefault="000726F9" w:rsidP="00472C0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472C0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 خلال تحويل المشاكل الواقعية الى اساليب كمية</w:t>
            </w:r>
          </w:p>
          <w:p w:rsidR="00472C0B" w:rsidRPr="00DB131F" w:rsidRDefault="00472C0B" w:rsidP="00472C0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تعلم كيفية استخدام المعادلات الرياضية وكيفية حلها حلا امثلا</w:t>
            </w:r>
          </w:p>
          <w:p w:rsidR="00472C0B" w:rsidRPr="00DB131F" w:rsidRDefault="00472C0B" w:rsidP="00472C0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التعلم حول استخدام البرامج الجاهزة في حل الاساليب الرياضية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0726F9" w:rsidRPr="00DB131F" w:rsidTr="00587B7D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726F9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0726F9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350AEB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 المهارات الأخرى المتعلقة بقابلية التوظيف والتطور الشخصي ).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0726F9" w:rsidRPr="00DB131F" w:rsidRDefault="000726F9" w:rsidP="000726F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</w:p>
          <w:p w:rsidR="000726F9" w:rsidRPr="00DB131F" w:rsidRDefault="000726F9" w:rsidP="000726F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</w:p>
          <w:p w:rsidR="000726F9" w:rsidRPr="00DB131F" w:rsidRDefault="000726F9" w:rsidP="000726F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:rsidR="000726F9" w:rsidRPr="00DB131F" w:rsidRDefault="000726F9" w:rsidP="000726F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B63B78" w:rsidRPr="00E779AA" w:rsidRDefault="00B63B78" w:rsidP="00B63B78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B63B78" w:rsidRPr="00DB131F" w:rsidTr="00587B7D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B63B78" w:rsidRPr="00DB131F" w:rsidTr="00587B7D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CB07E8" w:rsidRPr="00DB131F" w:rsidTr="00D372E9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B07E8" w:rsidRPr="00DB131F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DB131F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5A7FE4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الاطلاع على تاريخ ونشاة هذا العلم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B07E8" w:rsidRPr="00DD1906" w:rsidRDefault="00CB07E8" w:rsidP="00CB07E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مفهوم، نشأة، وتطور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الانتاج والعمليات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CB07E8" w:rsidRPr="00DB131F" w:rsidTr="00D372E9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CB07E8" w:rsidRPr="00DB131F" w:rsidRDefault="00CB07E8" w:rsidP="00CB07E8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CB07E8" w:rsidRPr="00DB131F" w:rsidRDefault="00CB07E8" w:rsidP="00CB07E8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CB07E8" w:rsidRPr="005A7FE4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الاطلاع على تاريخ ونشاة هذا العلم</w:t>
            </w:r>
          </w:p>
        </w:tc>
        <w:tc>
          <w:tcPr>
            <w:tcW w:w="2160" w:type="dxa"/>
            <w:shd w:val="clear" w:color="auto" w:fill="D3DFEE"/>
          </w:tcPr>
          <w:p w:rsidR="00CB07E8" w:rsidRPr="00DD1906" w:rsidRDefault="00CB07E8" w:rsidP="00CB07E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مفهوم، نشأة، وتطور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الانتاج والعمليات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CB07E8" w:rsidRPr="00DB131F" w:rsidTr="00D372E9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B07E8" w:rsidRPr="00DB131F" w:rsidRDefault="00E172E9" w:rsidP="00CB07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DB131F" w:rsidRDefault="00CB07E8" w:rsidP="00CB07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5A7FE4" w:rsidRDefault="00CB07E8" w:rsidP="00CB07E8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لمعرفة والاطلاع على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الجانب الاستراتيجي للموضوع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B07E8" w:rsidRPr="00DD1906" w:rsidRDefault="00CB07E8" w:rsidP="00CB07E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التخطيط الاستراتيجي للعمليات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EF58F1" w:rsidRPr="005A7FE4" w:rsidRDefault="00EF58F1" w:rsidP="00EF58F1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لمعرفة والاطلاع على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الجانب الاستراتيجي للموضوع</w:t>
            </w:r>
          </w:p>
        </w:tc>
        <w:tc>
          <w:tcPr>
            <w:tcW w:w="2160" w:type="dxa"/>
            <w:shd w:val="clear" w:color="auto" w:fill="D3DFE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التخطيط الاستراتيجي للعمليات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CB07E8" w:rsidRPr="00DB131F" w:rsidTr="00D372E9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B07E8" w:rsidRPr="00DB131F" w:rsidRDefault="00E172E9" w:rsidP="00CB07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DB131F" w:rsidRDefault="00CB07E8" w:rsidP="00CB07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5A7FE4" w:rsidRDefault="00CB07E8" w:rsidP="00CB07E8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 على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اساليب التنبوء بالطلب </w:t>
            </w: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B07E8" w:rsidRPr="00DD1906" w:rsidRDefault="00CB07E8" w:rsidP="00CB07E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التنبوء بالطلب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CB07E8" w:rsidRPr="00DB131F" w:rsidTr="00D372E9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CB07E8" w:rsidRPr="00DB131F" w:rsidRDefault="00E172E9" w:rsidP="00CB07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CB07E8" w:rsidRPr="00DB131F" w:rsidRDefault="00CB07E8" w:rsidP="00CB07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CB07E8" w:rsidRPr="005A7FE4" w:rsidRDefault="00CB07E8" w:rsidP="00CB07E8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 على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اساليب التنبوء بالطلب </w:t>
            </w: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160" w:type="dxa"/>
            <w:shd w:val="clear" w:color="auto" w:fill="D3DFEE"/>
          </w:tcPr>
          <w:p w:rsidR="00CB07E8" w:rsidRPr="00DD1906" w:rsidRDefault="00CB07E8" w:rsidP="00CB07E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التنبوء بالطلب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 على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اساليب التنبوء بالطلب </w:t>
            </w: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التنبوء بالطلب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 على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اساليب التنبوء بالطلب </w:t>
            </w: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التنبوء بالطلب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 على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اساليب التنبوء بالطلب </w:t>
            </w: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التنبوء بالطلب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تخطيط وتطوير المنتوج/ الخدمه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تخطيط وتطوير المنتوج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تخطيط وتطوير المنتوج/ الخدمه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تخطيط وتطوير المنتوج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تخطيط وتطوير المنتوج/ الخدمه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تخطيط وتطوير المنتوج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تخطيط وتصميم العملية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تخطيط وتصميم العملية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تخطيط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lastRenderedPageBreak/>
              <w:t>وتصميم العملية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تخطيط وتصميم العملية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العرض والتوضيح </w:t>
            </w: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>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الاختبار اليومي </w:t>
            </w: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lastRenderedPageBreak/>
              <w:t>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تخطيط وتصميم العملية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تخطيط وتصميم العملية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انواع الطاقات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تخطيط وطرق الطاقة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انواع الطاقات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تخطيط وطرق الطاقة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انواع الطاقات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تخطيط وطرق الطاقة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انواع الطاقات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تخطيط وطرق الطاقة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طرق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اختيار موقع المصنع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اختيار موقع المصنع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طرق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اختيار موقع المصنع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اختيار موقع المصنع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طرق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اختيار موقع المصنع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اختيار موقع المصنع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طرق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اختيار موقع المصنع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اختيار موقع المصنع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ادوات التخطيط الاجمالي للانتاج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التخطيط الاجمالي للأنتاج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ادوات التخطيط الاجمالي للانتاج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التخطيط الاجمالي للأنتاج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ادوات التخطيط الاجمالي للانتاج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التخطيط الاجمالي للأنتاج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ادوات التخطيط الاجمالي للانتاج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التخطيط الاجمالي للأنتاج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تعلم ومعرفة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ادوات التخطيط الاجمالي للانتاج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التخطيط الاجمالي للأنتاج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طرق الجدولة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جدولة العمليات الانتاجية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lastRenderedPageBreak/>
              <w:t>طرق الجدولة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جدولة العمليات الانتاجية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العرض والتوضيح </w:t>
            </w: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>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الاختبار اليومي </w:t>
            </w: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lastRenderedPageBreak/>
              <w:t>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31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طرق الجدولة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جدولة العمليات الانتاجية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طرق الجدولة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جدولة العمليات الانتاجية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تعلم ومعرفة طرق الحل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طرق الجدولة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جدولة العمليات الانتاجية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</w:p>
        </w:tc>
      </w:tr>
    </w:tbl>
    <w:p w:rsidR="00B63B78" w:rsidRPr="00807DE1" w:rsidRDefault="00B63B78" w:rsidP="00B63B78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B63B78" w:rsidRPr="00DB131F" w:rsidTr="00587B7D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472C0B" w:rsidRPr="00DB131F" w:rsidTr="00CA6BD4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472C0B" w:rsidRPr="00DB131F" w:rsidRDefault="00472C0B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472C0B" w:rsidRPr="00DB131F" w:rsidRDefault="00472C0B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472C0B" w:rsidRPr="00DB131F" w:rsidRDefault="00472C0B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472C0B" w:rsidRPr="00DB131F" w:rsidRDefault="00472C0B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</w:tcPr>
          <w:p w:rsidR="00472C0B" w:rsidRDefault="00472C0B" w:rsidP="00472C0B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ادارة الانتاج والعمليات / </w:t>
            </w:r>
          </w:p>
          <w:p w:rsidR="00472C0B" w:rsidRDefault="00472C0B" w:rsidP="00472C0B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د. عبدالكريم محسن </w:t>
            </w:r>
          </w:p>
          <w:p w:rsidR="00472C0B" w:rsidRPr="009B0012" w:rsidRDefault="00472C0B" w:rsidP="00472C0B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د. صباح النجار</w:t>
            </w:r>
          </w:p>
        </w:tc>
      </w:tr>
      <w:tr w:rsidR="00472C0B" w:rsidRPr="00DB131F" w:rsidTr="00587B7D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72C0B" w:rsidRPr="00DB131F" w:rsidRDefault="00472C0B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72C0B" w:rsidRPr="009B0012" w:rsidRDefault="00472C0B" w:rsidP="00731FD4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9B001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العديد من المصادر والدوريات العربية والاجنبية</w:t>
            </w:r>
          </w:p>
        </w:tc>
      </w:tr>
      <w:tr w:rsidR="00472C0B" w:rsidRPr="00DB131F" w:rsidTr="00587B7D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472C0B" w:rsidRPr="00DB131F" w:rsidRDefault="00472C0B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Pr="009B0012" w:rsidRDefault="00472C0B" w:rsidP="00472C0B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9B001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من الممكن معالجة الكثير من المشاكل في المؤسسات و والشركات عن طريق البحوث والدراسات التي تجرى من قبل والاساتذة الاكاديمين الباحثين وطلاب الدراسات العليا</w:t>
            </w:r>
          </w:p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Pr="00DB131F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63B78" w:rsidRDefault="00B63B78" w:rsidP="00B63B78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B63B78" w:rsidRPr="00DB131F" w:rsidTr="00587B7D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B63B78" w:rsidRPr="00DB131F" w:rsidTr="00587B7D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B63B78" w:rsidRPr="00DB131F" w:rsidRDefault="00472C0B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الفرع العلمي</w:t>
            </w:r>
            <w:bookmarkStart w:id="0" w:name="_GoBack"/>
            <w:bookmarkEnd w:id="0"/>
            <w:r w:rsidR="001F72C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والادبي</w:t>
            </w:r>
          </w:p>
        </w:tc>
      </w:tr>
      <w:tr w:rsidR="00B63B78" w:rsidRPr="00DB131F" w:rsidTr="00587B7D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472C0B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حسب خطة القبول</w:t>
            </w:r>
          </w:p>
        </w:tc>
      </w:tr>
      <w:tr w:rsidR="00B63B78" w:rsidRPr="00DB131F" w:rsidTr="00587B7D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B63B78" w:rsidRPr="00DB131F" w:rsidRDefault="00472C0B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حسب خطة القبول</w:t>
            </w:r>
          </w:p>
        </w:tc>
      </w:tr>
    </w:tbl>
    <w:p w:rsidR="008B36F0" w:rsidRDefault="008B36F0"/>
    <w:sectPr w:rsidR="008B36F0" w:rsidSect="001304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78"/>
    <w:rsid w:val="000726F9"/>
    <w:rsid w:val="0013047B"/>
    <w:rsid w:val="001F72C4"/>
    <w:rsid w:val="00350AEB"/>
    <w:rsid w:val="00472C0B"/>
    <w:rsid w:val="00520713"/>
    <w:rsid w:val="00666EFF"/>
    <w:rsid w:val="008B36F0"/>
    <w:rsid w:val="00B63B78"/>
    <w:rsid w:val="00C60CE3"/>
    <w:rsid w:val="00C8456D"/>
    <w:rsid w:val="00CB07E8"/>
    <w:rsid w:val="00D165A2"/>
    <w:rsid w:val="00DA253A"/>
    <w:rsid w:val="00E172E9"/>
    <w:rsid w:val="00E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7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7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</dc:creator>
  <cp:lastModifiedBy>DR.Ahmed Saker 2o1O</cp:lastModifiedBy>
  <cp:revision>12</cp:revision>
  <dcterms:created xsi:type="dcterms:W3CDTF">2014-05-17T19:00:00Z</dcterms:created>
  <dcterms:modified xsi:type="dcterms:W3CDTF">2014-12-03T06:09:00Z</dcterms:modified>
</cp:coreProperties>
</file>