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78" w:rsidRPr="00EE06F8" w:rsidRDefault="00B63B78" w:rsidP="00B63B78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مراجعة أداء مؤسسات التعليم العالي ((مراجعة البرنامج الأكاديمي))</w:t>
            </w:r>
          </w:p>
        </w:tc>
      </w:tr>
    </w:tbl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B63B78" w:rsidRDefault="00B63B78" w:rsidP="00B63B7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794"/>
        </w:trPr>
        <w:tc>
          <w:tcPr>
            <w:tcW w:w="9720" w:type="dxa"/>
            <w:shd w:val="clear" w:color="auto" w:fill="A7BFDE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B63B78" w:rsidRPr="00E734E3" w:rsidRDefault="00B63B78" w:rsidP="00B63B7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B63B78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0F15" w:rsidRPr="00B60F15" w:rsidRDefault="00B60F15" w:rsidP="00B60F1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B60F15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جامعة بغداد</w:t>
            </w: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/ كلية الادارة والاقتصاد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DB131F" w:rsidRDefault="00B60F15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الادارة الصناعية</w:t>
            </w:r>
            <w:r w:rsidR="00B63B78" w:rsidRPr="00DB131F"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  <w:t>لقسم</w:t>
            </w:r>
            <w:r w:rsidR="00B63B7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63B78" w:rsidRPr="00DB131F">
              <w:rPr>
                <w:rFonts w:ascii="Cambria" w:hAnsi="Cambria" w:cs="Times New Roman"/>
                <w:color w:val="D9D9D9"/>
                <w:sz w:val="28"/>
                <w:szCs w:val="28"/>
                <w:rtl/>
                <w:lang w:bidi="ar-IQ"/>
              </w:rPr>
              <w:t>العلمي</w:t>
            </w:r>
            <w:r w:rsidR="00B63B7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0F15" w:rsidP="00E03B9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ادارة </w:t>
            </w:r>
            <w:r w:rsidR="00E03B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المواد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0F15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محاضرات نظرية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DB131F" w:rsidRDefault="00B60F15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0F15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90 ساعة</w:t>
            </w:r>
          </w:p>
        </w:tc>
      </w:tr>
      <w:tr w:rsidR="00B63B78" w:rsidRPr="00DB131F" w:rsidTr="00587B7D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B63B78" w:rsidRPr="00DB131F" w:rsidRDefault="00E03B91" w:rsidP="00E03B9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  <w:r w:rsidR="00B60F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  <w:r w:rsidR="00B60F1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/2014</w:t>
            </w:r>
          </w:p>
        </w:tc>
      </w:tr>
      <w:tr w:rsidR="00B63B78" w:rsidRPr="00DB131F" w:rsidTr="00587B7D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B63B78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B60F15" w:rsidRDefault="00B60F15" w:rsidP="00E03B91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60F1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تتحدد الأهداف الأساسية من دراسة هذه المادة بأكساب الطالب المعرفة المطلوبة في مجالات إدارة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</w:t>
            </w:r>
            <w:r w:rsidR="00E03B9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واد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E541A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والتركيز على احدى اهم الفلسفات الادارية التي تتبناها منظمات الاعمال المعاصرة </w:t>
            </w:r>
            <w:r w:rsidR="00E03B9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للحصول على افضل المواد اللازمة للعملية الانتاجية </w:t>
            </w:r>
            <w:r w:rsidR="00E541A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لتحقيق الاهداف والجمع بين المواضيع النظرية المفاهيمية والكمية الرياضية لاهميتها في ادارة </w:t>
            </w:r>
            <w:r w:rsidR="00E03B9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المواد.</w:t>
            </w:r>
          </w:p>
        </w:tc>
      </w:tr>
      <w:tr w:rsidR="00B63B78" w:rsidRPr="00DB131F" w:rsidTr="00587B7D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Pr="0020555A" w:rsidRDefault="00B63B78" w:rsidP="00B63B78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B63B78" w:rsidRPr="00DB131F" w:rsidTr="00587B7D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B63B78" w:rsidRPr="00DB131F" w:rsidTr="00587B7D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7803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مراحل المشروع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7803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فريق المشروع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7803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تنفيذ المشروع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7803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رقابة المشروع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7803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انهاء المشروع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B63B78" w:rsidRPr="00DB131F" w:rsidTr="00587B7D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B63B78" w:rsidRPr="00DB131F" w:rsidRDefault="00780366" w:rsidP="0078036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   </w:t>
            </w:r>
            <w:r w:rsidR="00B63B7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63B78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تصميم مشروع صناعي ابتداءا من لحظة التفكير بالمشروع ولغاية انهائه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B63B78" w:rsidRPr="00DB131F" w:rsidTr="00587B7D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B63B78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780366" w:rsidP="00E03B9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محاضرات نظرية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B63B78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780366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الامتحانات الشهرية واليومية ومشاركات الطالب في المحاضرة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B63B78" w:rsidRPr="00DB131F" w:rsidRDefault="00B63B78" w:rsidP="00E03B91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7803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03B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كيفية الحصول على افضل المواد وبأنسب الاسعار اذا ما كلفوا بأداء هذه الوظيفة مستقبلا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63B78" w:rsidRPr="00DB131F" w:rsidTr="00587B7D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B63B78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C866B5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عصف ذهني ، إثارة تساؤلات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B63B78" w:rsidRPr="00DB131F" w:rsidTr="00587B7D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C866B5" w:rsidP="00E03B9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الأندماج والأستجابة 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والمنقولة ( المهارات الأخرى المتعلقة بقابلية التوظيف والتطور الشخصي ).</w:t>
            </w:r>
          </w:p>
          <w:p w:rsidR="00B63B78" w:rsidRPr="00DB131F" w:rsidRDefault="00B63B78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7803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تنمية  مهارات الطالب في المستقبل</w:t>
            </w:r>
          </w:p>
          <w:p w:rsidR="00B63B78" w:rsidRPr="00DB131F" w:rsidRDefault="00B63B78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78036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توظيف المعلومات النظرية في حياته العملية عند التخرج</w:t>
            </w:r>
          </w:p>
          <w:p w:rsidR="00B63B78" w:rsidRPr="00DB131F" w:rsidRDefault="00B63B78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B63B78" w:rsidRPr="00DB131F" w:rsidRDefault="00B63B78" w:rsidP="00587B7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B63B78" w:rsidRPr="00E779AA" w:rsidRDefault="00B63B78" w:rsidP="00B63B78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B63B78" w:rsidRPr="00DB131F" w:rsidTr="00587B7D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B63B78" w:rsidRPr="00DB131F" w:rsidTr="00587B7D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B63B78" w:rsidRPr="00DB131F" w:rsidTr="00587B7D">
        <w:trPr>
          <w:trHeight w:val="39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E541A8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8C587B" w:rsidP="008C587B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8C587B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F011E9" w:rsidRPr="00E14795" w:rsidRDefault="00F011E9" w:rsidP="00F011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مفهوم واهداف ادارة المواد</w:t>
            </w:r>
          </w:p>
          <w:p w:rsidR="00B63B78" w:rsidRPr="00E14795" w:rsidRDefault="00F011E9" w:rsidP="00F011E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-وظائف ادارة المواد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B63B78" w:rsidRPr="00DB131F" w:rsidRDefault="00B63B78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B63B78" w:rsidRPr="00DB131F" w:rsidRDefault="00B63B78" w:rsidP="00587B7D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75527" w:rsidRPr="00DB131F" w:rsidTr="00587B7D">
        <w:trPr>
          <w:trHeight w:val="339"/>
        </w:trPr>
        <w:tc>
          <w:tcPr>
            <w:tcW w:w="1260" w:type="dxa"/>
            <w:shd w:val="clear" w:color="auto" w:fill="A7BFDE"/>
            <w:vAlign w:val="center"/>
          </w:tcPr>
          <w:p w:rsidR="00475527" w:rsidRPr="00DB131F" w:rsidRDefault="00475527" w:rsidP="00475527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475527" w:rsidRPr="00DB131F" w:rsidRDefault="00475527" w:rsidP="00475527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475527" w:rsidRPr="00DB131F" w:rsidRDefault="00475527" w:rsidP="00475527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475527" w:rsidRPr="00E14795" w:rsidRDefault="00F011E9" w:rsidP="00475527">
            <w:pP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علاقة ادارة المواد بالادارات والوظائف الاخرى بالمنظمة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75527" w:rsidRPr="00DB131F" w:rsidTr="00587B7D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E14795" w:rsidRDefault="00F011E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-مفهوم واهمية وظيفة الشراء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75527" w:rsidRPr="00DB131F" w:rsidTr="00587B7D">
        <w:trPr>
          <w:trHeight w:val="331"/>
        </w:trPr>
        <w:tc>
          <w:tcPr>
            <w:tcW w:w="1260" w:type="dxa"/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F011E9" w:rsidRPr="00E14795" w:rsidRDefault="00F011E9" w:rsidP="00F011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-اهداف وظيفة الشراء</w:t>
            </w:r>
          </w:p>
          <w:p w:rsidR="00475527" w:rsidRPr="00E14795" w:rsidRDefault="00F011E9" w:rsidP="00F011E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-انواع الشراء في بيئة الاعمال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75527" w:rsidRPr="00DB131F" w:rsidTr="00587B7D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E14795" w:rsidRDefault="00F011E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حجم وظيفة الشراء وشكلها التنظيمي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75527" w:rsidRPr="00DB131F" w:rsidTr="00587B7D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D3DFE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shd w:val="clear" w:color="auto" w:fill="D3DFEE"/>
            <w:vAlign w:val="center"/>
          </w:tcPr>
          <w:p w:rsidR="00F011E9" w:rsidRPr="00E14795" w:rsidRDefault="00F011E9" w:rsidP="00F011E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-مسؤوليات وظيفة الشراء</w:t>
            </w:r>
          </w:p>
          <w:p w:rsidR="00475527" w:rsidRPr="00E14795" w:rsidRDefault="00F011E9" w:rsidP="00F011E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-التنظيم الداخلي لوظيفة الشراء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D3DFE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75527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المعرفة المناسبة بأساسيات </w:t>
            </w: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E14795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 xml:space="preserve">امتحان الشهر </w:t>
            </w:r>
            <w:r w:rsidRPr="00E1479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lastRenderedPageBreak/>
              <w:t>الاول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 xml:space="preserve">محاضرات نظرية ، </w:t>
            </w: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>تطبيقات عملية ، مناقشات صفية ، واجبات بيتية ، فرق عمل جماعي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75527" w:rsidRPr="00D00756" w:rsidRDefault="00475527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 xml:space="preserve">الأمتحانات ، المناقشات </w:t>
            </w: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>الصفية ، الواجبات البيتية ، المواظبة</w:t>
            </w:r>
          </w:p>
          <w:p w:rsidR="00475527" w:rsidRPr="00DB131F" w:rsidRDefault="00475527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-القوى العاملة لوظيفة الشراء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9F798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9F798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9F798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9F798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9F79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-مفهوم استراتيجيات الشراء</w:t>
            </w:r>
          </w:p>
          <w:p w:rsidR="009F7989" w:rsidRPr="00E14795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-استراتيجية الشراء حسب الحاجة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9F798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9F798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9F798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9F798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استراتيجية الشراء ام التصنيع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875BC5" w:rsidRDefault="009F7989" w:rsidP="009F798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5BC5">
              <w:rPr>
                <w:rFonts w:hint="cs"/>
                <w:b/>
                <w:bCs/>
                <w:sz w:val="28"/>
                <w:szCs w:val="28"/>
                <w:rtl/>
              </w:rPr>
              <w:t>مفهوم الحجم الاقتصادي لطلبية الشراء</w:t>
            </w:r>
          </w:p>
          <w:p w:rsidR="009F7989" w:rsidRPr="00E14795" w:rsidRDefault="009F7989" w:rsidP="009F798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875BC5">
              <w:rPr>
                <w:rFonts w:hint="cs"/>
                <w:b/>
                <w:bCs/>
                <w:sz w:val="28"/>
                <w:szCs w:val="28"/>
                <w:rtl/>
              </w:rPr>
              <w:t>-العوامل المؤثرة في تحديد الحجم الاقتصادي لطلبية الشراء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9F798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9F798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9F798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9F798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طرق حساب الحجم الاقتصادي ل</w:t>
            </w:r>
            <w:bookmarkStart w:id="0" w:name="_GoBack"/>
            <w:bookmarkEnd w:id="0"/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طلبية الشراء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اهمية ومراحل اختيار مصدر الشراء المناسب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المعرفة المناسبة بأساسيات الموضوع على مستوى </w:t>
            </w: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تقويم اداء الموردين بعد التعامل معهم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 xml:space="preserve">محاضرات نظرية ، تطبيقات عملية ، مناقشات صفية ، </w:t>
            </w: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>واجبات بيتية ، فرق عمل جماعي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 xml:space="preserve">الأمتحانات ، المناقشات الصفية ، الواجبات البيتية ، </w:t>
            </w: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>المواظبة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طرق حساب الحجم الاقتصادي لطلبية الشراء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اهمية ومراحل اختيار مصدر الشراء المناسب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تقويم اداء الموردين بعد التعامل معهم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9F7989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B131F" w:rsidRDefault="009F7989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E14795" w:rsidRDefault="009F7989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طرق حساب الحجم الاقتصادي لطلبية الشراء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F7989" w:rsidRPr="00D00756" w:rsidRDefault="009F7989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9F7989" w:rsidRPr="00DB131F" w:rsidRDefault="009F7989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75527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E14795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  <w:r w:rsidRPr="00E14795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الامتحان الثاني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475527" w:rsidRPr="00DB131F" w:rsidRDefault="00475527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اختيار المورد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75527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7552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-اهمية واهداف عملية تسلم المشتريات وفحصها</w:t>
            </w:r>
          </w:p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-مراحل عملية تسلم المشتريات وفحصها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7552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7552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22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-اهمية الشراء بالجودة المناسبة</w:t>
            </w:r>
          </w:p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-الشراء بالوقت المناسب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الشراء بالسعر المناسب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مفهوم وخصائص التجهيزات الرأسمالية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اجراءات شراء التجهيزات الرأسمالية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المفاضلة في شراء التجهيزات الرأسمالية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مفهوم واهمية وخصائص وظيفة التخزين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اهداف وظيفة التخزين في النظمات الصناعية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المعرفة المناسبة بأساسيات الموضوع على مستوى </w:t>
            </w: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انواع المخازن في </w:t>
            </w: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المنظمات الصناعية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 xml:space="preserve">محاضرات نظرية ، تطبيقات عملية ، مناقشات </w:t>
            </w: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>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 xml:space="preserve">الأمتحانات ، المناقشات الصفية ، الواجبات </w:t>
            </w: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lastRenderedPageBreak/>
              <w:t>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30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اختيار موقع الخزن للمنظمات الصناعية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E14795" w:rsidRPr="00DB131F" w:rsidTr="00587B7D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2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B131F" w:rsidRDefault="00E14795" w:rsidP="00402519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967B8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المعرفة المناسبة بأساسيات الموضوع على مستوى النظرية والتطبيق</w:t>
            </w:r>
          </w:p>
        </w:tc>
        <w:tc>
          <w:tcPr>
            <w:tcW w:w="216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E14795" w:rsidRDefault="00E14795" w:rsidP="00B17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14795">
              <w:rPr>
                <w:rFonts w:hint="cs"/>
                <w:b/>
                <w:bCs/>
                <w:sz w:val="32"/>
                <w:szCs w:val="32"/>
                <w:rtl/>
              </w:rPr>
              <w:t>البناء العمراني للمخزن في المنظمات الصناعية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محاضرات نظرية ، تطبيقات عملية ، مناقشات صفية ، واجبات بيتية ، فرق عمل جماعي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E14795" w:rsidRPr="00D00756" w:rsidRDefault="00E14795" w:rsidP="0040251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 w:cs="Times New Roman"/>
                <w:b/>
                <w:bCs/>
                <w:color w:val="000000"/>
                <w:sz w:val="18"/>
                <w:szCs w:val="18"/>
                <w:rtl/>
                <w:lang w:bidi="ar-IQ"/>
              </w:rPr>
            </w:pPr>
            <w:r w:rsidRPr="00D00756">
              <w:rPr>
                <w:rFonts w:ascii="Cambria" w:hAnsi="Cambria" w:cs="Times New Roman" w:hint="cs"/>
                <w:b/>
                <w:bCs/>
                <w:color w:val="000000"/>
                <w:sz w:val="18"/>
                <w:szCs w:val="18"/>
                <w:rtl/>
                <w:lang w:bidi="ar-IQ"/>
              </w:rPr>
              <w:t>الأمتحانات ، المناقشات الصفية ، الواجبات البيتية ، المواظبة</w:t>
            </w:r>
          </w:p>
          <w:p w:rsidR="00E14795" w:rsidRPr="00DB131F" w:rsidRDefault="00E14795" w:rsidP="0040251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Pr="00807DE1" w:rsidRDefault="00B63B78" w:rsidP="00B63B78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B63B78" w:rsidRPr="00DB131F" w:rsidTr="00587B7D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B63B78" w:rsidRPr="00DB131F" w:rsidTr="00587B7D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B63B78" w:rsidRPr="00DB131F" w:rsidRDefault="00B63B78" w:rsidP="00B63B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B63B78" w:rsidRPr="00DB131F" w:rsidRDefault="00780366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لايوجد كتاب مقرر ولكن تم اعداد محاضرات من مصادر حديثة من ادارة المشروعات المعاصرة ن لادارة المشارع الحديثة</w:t>
            </w:r>
          </w:p>
        </w:tc>
      </w:tr>
      <w:tr w:rsidR="00B63B78" w:rsidRPr="00DB131F" w:rsidTr="00587B7D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C866B5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مواقع الكترونية الى حدٍ ما</w:t>
            </w:r>
          </w:p>
        </w:tc>
      </w:tr>
      <w:tr w:rsidR="00B63B78" w:rsidRPr="00DB131F" w:rsidTr="00875BC5">
        <w:trPr>
          <w:trHeight w:val="1247"/>
        </w:trPr>
        <w:tc>
          <w:tcPr>
            <w:tcW w:w="4007" w:type="dxa"/>
            <w:shd w:val="clear" w:color="auto" w:fill="A7BFDE"/>
          </w:tcPr>
          <w:p w:rsidR="00B63B78" w:rsidRPr="00DB131F" w:rsidRDefault="00B63B78" w:rsidP="00875BC5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B63B78" w:rsidRDefault="00C866B5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ليست هناك ضرورة ملحة</w:t>
            </w:r>
          </w:p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B63B78" w:rsidRDefault="00B63B78" w:rsidP="00B63B78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B63B78" w:rsidRPr="00DB131F" w:rsidTr="00587B7D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B63B78" w:rsidRPr="00DB131F" w:rsidRDefault="00B63B78" w:rsidP="00B63B78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B63B78" w:rsidRPr="00DB131F" w:rsidTr="00587B7D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B63B78" w:rsidRPr="00DB131F" w:rsidTr="00587B7D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B63B78" w:rsidRPr="00DB131F" w:rsidRDefault="00B63B78" w:rsidP="00587B7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B36F0" w:rsidRDefault="008B36F0"/>
    <w:sectPr w:rsidR="008B36F0" w:rsidSect="001304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78"/>
    <w:rsid w:val="0013047B"/>
    <w:rsid w:val="00402519"/>
    <w:rsid w:val="00475527"/>
    <w:rsid w:val="006A59DA"/>
    <w:rsid w:val="00780366"/>
    <w:rsid w:val="00875BC5"/>
    <w:rsid w:val="008B36F0"/>
    <w:rsid w:val="008C587B"/>
    <w:rsid w:val="009F7989"/>
    <w:rsid w:val="00B60F15"/>
    <w:rsid w:val="00B63B78"/>
    <w:rsid w:val="00C866B5"/>
    <w:rsid w:val="00DD73F9"/>
    <w:rsid w:val="00E03B91"/>
    <w:rsid w:val="00E14795"/>
    <w:rsid w:val="00E541A8"/>
    <w:rsid w:val="00F011E9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7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Asmaa</cp:lastModifiedBy>
  <cp:revision>4</cp:revision>
  <cp:lastPrinted>2014-08-17T07:30:00Z</cp:lastPrinted>
  <dcterms:created xsi:type="dcterms:W3CDTF">2014-08-17T07:39:00Z</dcterms:created>
  <dcterms:modified xsi:type="dcterms:W3CDTF">2014-12-29T08:53:00Z</dcterms:modified>
</cp:coreProperties>
</file>