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B5" w:rsidRPr="00661D07" w:rsidRDefault="00CC3DB5" w:rsidP="00CC3DB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C3DB5" w:rsidRPr="00661D07" w:rsidTr="001B687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CC3DB5" w:rsidRPr="00661D07" w:rsidRDefault="00CC3DB5" w:rsidP="00CC3DB5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CC3DB5" w:rsidRPr="00661D07" w:rsidRDefault="00CC3DB5" w:rsidP="00CC3DB5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C3DB5" w:rsidRPr="00661D07" w:rsidTr="001B687C">
        <w:trPr>
          <w:trHeight w:val="794"/>
        </w:trPr>
        <w:tc>
          <w:tcPr>
            <w:tcW w:w="9720" w:type="dxa"/>
            <w:shd w:val="clear" w:color="auto" w:fill="A7BFDE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C3DB5" w:rsidRPr="00661D07" w:rsidRDefault="00CC3DB5" w:rsidP="00CC3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CC3DB5" w:rsidRPr="00661D07" w:rsidTr="001B687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3DB5" w:rsidRPr="00BD384C" w:rsidRDefault="00CC3DB5" w:rsidP="001B687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BD384C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جامعة بغداد / كلية الأدارة والأقتصاد</w:t>
            </w:r>
          </w:p>
        </w:tc>
      </w:tr>
      <w:tr w:rsidR="00CC3DB5" w:rsidRPr="00661D07" w:rsidTr="001B687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C3DB5" w:rsidRPr="00BD384C" w:rsidRDefault="00CC3DB5" w:rsidP="001B687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BD384C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قسم الأدارة الصناعية</w:t>
            </w:r>
          </w:p>
        </w:tc>
      </w:tr>
      <w:tr w:rsidR="00CC3DB5" w:rsidRPr="00661D07" w:rsidTr="001B687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3DB5" w:rsidRPr="00CC3DB5" w:rsidRDefault="007E1711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الأنكليزية</w:t>
            </w:r>
          </w:p>
        </w:tc>
      </w:tr>
      <w:tr w:rsidR="00CC3DB5" w:rsidRPr="00661D07" w:rsidTr="001B687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C3DB5" w:rsidRPr="00661D07" w:rsidRDefault="007E1711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  <w:r w:rsidR="00CC3DB5" w:rsidRPr="00BD384C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إدارة صناعية</w:t>
            </w:r>
          </w:p>
        </w:tc>
      </w:tr>
      <w:tr w:rsidR="00CC3DB5" w:rsidRPr="00661D07" w:rsidTr="001B687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3DB5" w:rsidRPr="007238D6" w:rsidRDefault="00CC3DB5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238D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الزامي</w:t>
            </w:r>
          </w:p>
        </w:tc>
      </w:tr>
      <w:tr w:rsidR="00CC3DB5" w:rsidRPr="00661D07" w:rsidTr="001B687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C3DB5" w:rsidRPr="007238D6" w:rsidRDefault="00CC3DB5" w:rsidP="007E171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38D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 /</w:t>
            </w:r>
            <w:r w:rsidR="007E171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الأولى</w:t>
            </w:r>
          </w:p>
        </w:tc>
      </w:tr>
      <w:tr w:rsidR="00CC3DB5" w:rsidRPr="00661D07" w:rsidTr="001B687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3DB5" w:rsidRPr="007238D6" w:rsidRDefault="007E1711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CC3DB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CC3DB5" w:rsidRPr="00661D07" w:rsidTr="001B687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C3DB5" w:rsidRPr="007238D6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38D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8/1/2015</w:t>
            </w:r>
          </w:p>
        </w:tc>
      </w:tr>
      <w:tr w:rsidR="00CC3DB5" w:rsidRPr="00661D07" w:rsidTr="001B687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C3DB5" w:rsidRPr="00661D07" w:rsidRDefault="00CC3DB5" w:rsidP="007E17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CC3DB5" w:rsidRPr="00661D07" w:rsidTr="001B687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E1711" w:rsidRPr="00594297" w:rsidRDefault="007E1711" w:rsidP="0070494C">
            <w:pPr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4297">
              <w:rPr>
                <w:rFonts w:asciiTheme="majorBidi" w:hAnsiTheme="majorBidi" w:cstheme="majorBidi"/>
                <w:sz w:val="28"/>
                <w:szCs w:val="28"/>
              </w:rPr>
              <w:t>The course is designed to introduc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students with how to carefully acquire the linguistic skills for specific academic purposes after being focused on the industrial management area. Hence, the course objectives are as follows:</w:t>
            </w:r>
          </w:p>
          <w:p w:rsidR="007E1711" w:rsidRPr="00594297" w:rsidRDefault="007E1711" w:rsidP="007E1711">
            <w:pPr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B2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>Help students acquire linguistic skills in their field of specialization.</w:t>
            </w:r>
          </w:p>
          <w:p w:rsidR="007E1711" w:rsidRPr="00594297" w:rsidRDefault="007E1711" w:rsidP="007E17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B2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>Development</w:t>
            </w:r>
            <w:proofErr w:type="gramEnd"/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of 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he students' ability to read,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write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translate 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>effectively for academic purposes.</w:t>
            </w:r>
          </w:p>
          <w:p w:rsidR="007E1711" w:rsidRPr="00594297" w:rsidRDefault="007E1711" w:rsidP="007E17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B2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3.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Prepare students for participation in academic seminars and discussions.</w:t>
            </w:r>
          </w:p>
          <w:p w:rsidR="007E1711" w:rsidRPr="00594297" w:rsidRDefault="007E1711" w:rsidP="007E17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B2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Provide information on industrial management from the management</w:t>
            </w:r>
          </w:p>
          <w:p w:rsidR="007E1711" w:rsidRPr="00594297" w:rsidRDefault="007E1711" w:rsidP="007E17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94297">
              <w:rPr>
                <w:rFonts w:asciiTheme="majorBidi" w:hAnsiTheme="majorBidi" w:cstheme="majorBidi"/>
                <w:sz w:val="28"/>
                <w:szCs w:val="28"/>
              </w:rPr>
              <w:t>science</w:t>
            </w:r>
            <w:proofErr w:type="gramEnd"/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which will form the basis for innovative academic discussion.</w:t>
            </w:r>
          </w:p>
          <w:p w:rsidR="007E1711" w:rsidRPr="00594297" w:rsidRDefault="007E1711" w:rsidP="007E17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B2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Approach academic writing, </w:t>
            </w:r>
            <w:proofErr w:type="gramStart"/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reading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translation</w:t>
            </w:r>
            <w:r w:rsidRPr="00594297">
              <w:rPr>
                <w:rFonts w:asciiTheme="majorBidi" w:hAnsiTheme="majorBidi" w:cstheme="majorBidi"/>
                <w:sz w:val="28"/>
                <w:szCs w:val="28"/>
              </w:rPr>
              <w:t xml:space="preserve"> tasks with confidence.</w:t>
            </w:r>
          </w:p>
          <w:p w:rsidR="00CC3DB5" w:rsidRPr="007E1711" w:rsidRDefault="00CC3DB5" w:rsidP="007E17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C3DB5" w:rsidRPr="00661D07" w:rsidTr="001B687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C3DB5" w:rsidRPr="00E4594B" w:rsidRDefault="00CC3DB5" w:rsidP="002549D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CC3DB5" w:rsidRPr="00661D07" w:rsidRDefault="00CC3DB5" w:rsidP="00CC3DB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C3DB5" w:rsidRPr="00661D07" w:rsidTr="001B687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CC3DB5" w:rsidRPr="00661D07" w:rsidTr="001B687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المادة الدراسية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CC3DB5" w:rsidRPr="00661D07" w:rsidTr="001B687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فكرية</w:t>
            </w:r>
          </w:p>
          <w:p w:rsidR="00CC3DB5" w:rsidRPr="00661D07" w:rsidRDefault="00CC3DB5" w:rsidP="002549D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549D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في مجال الترجمة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CC3DB5" w:rsidRPr="00661D07" w:rsidTr="001B687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CC3DB5" w:rsidRPr="00661D07" w:rsidTr="001B687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C3DB5" w:rsidRPr="00DB131F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C3DB5" w:rsidRPr="00661D07" w:rsidTr="001B687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CC3DB5" w:rsidRPr="00661D07" w:rsidTr="001B687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C3DB5" w:rsidRPr="00DB131F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الأمتحانات ، المناقشات الصفية ، الواجبات البيتية ، المواظبة </w:t>
            </w:r>
          </w:p>
          <w:p w:rsidR="00CC3DB5" w:rsidRPr="00DB131F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C3DB5" w:rsidRPr="00661D07" w:rsidTr="001B687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الموضوعية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C3DB5" w:rsidRPr="00661D07" w:rsidTr="001B687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CC3DB5" w:rsidRPr="00661D07" w:rsidTr="001B687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C3DB5" w:rsidRPr="00DB131F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عصف ذهني ، إثارة تساؤلات 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C3DB5" w:rsidRPr="00661D07" w:rsidTr="001B687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CC3DB5" w:rsidRPr="00661D07" w:rsidTr="001B687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C3DB5" w:rsidRPr="007238D6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238D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الأندماج والأستجابة</w:t>
            </w: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CC3DB5" w:rsidRPr="00661D07" w:rsidRDefault="00CC3DB5" w:rsidP="001B68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C3DB5" w:rsidRPr="00661D07" w:rsidTr="001B687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CC3DB5" w:rsidRPr="00661D07" w:rsidRDefault="00CC3DB5" w:rsidP="002549D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549D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لغوية (قراءة ، كتابة ، إستيعاب ، محادثة)</w:t>
            </w:r>
          </w:p>
          <w:p w:rsidR="00CC3DB5" w:rsidRPr="00661D07" w:rsidRDefault="00CC3DB5" w:rsidP="001B6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CC3DB5" w:rsidRPr="00661D07" w:rsidRDefault="00CC3DB5" w:rsidP="001B6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CC3DB5" w:rsidRPr="00661D07" w:rsidRDefault="00CC3DB5" w:rsidP="001B6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CC3DB5" w:rsidRPr="00661D07" w:rsidRDefault="00CC3DB5" w:rsidP="00CC3DB5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CC3DB5" w:rsidRPr="00661D07" w:rsidTr="001B687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CC3DB5" w:rsidRPr="00661D07" w:rsidTr="001B687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7E1711" w:rsidRPr="00661D07" w:rsidTr="00295AF1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Rapid Review of English Language Grammar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00756" w:rsidRDefault="007E1711" w:rsidP="007E171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، مناقشات صفية ، واجبات بيتية ، فرق عمل جماعي</w:t>
            </w:r>
          </w:p>
          <w:p w:rsidR="007E1711" w:rsidRPr="00DB131F" w:rsidRDefault="007E1711" w:rsidP="008D18F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E1711" w:rsidRPr="00DB131F" w:rsidRDefault="007E1711" w:rsidP="008D18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E1711" w:rsidRPr="00D00756" w:rsidRDefault="007E1711" w:rsidP="008D18F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7E1711" w:rsidRPr="00DB131F" w:rsidRDefault="007E1711" w:rsidP="008D18F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E1711" w:rsidRPr="00DB131F" w:rsidRDefault="007E1711" w:rsidP="008D18F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E1711" w:rsidRPr="00661D07" w:rsidTr="00295AF1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7E1711" w:rsidRPr="00DB131F" w:rsidRDefault="007E1711" w:rsidP="008D18FB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E1711" w:rsidRPr="00DB131F" w:rsidRDefault="007E1711" w:rsidP="008D18FB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7E1711" w:rsidRPr="007E1711" w:rsidRDefault="007E1711" w:rsidP="001A6658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Academic Reading and Writing Skills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E1711" w:rsidRPr="00DB131F" w:rsidRDefault="007E1711" w:rsidP="008D18FB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E1711" w:rsidRPr="00DB131F" w:rsidRDefault="007E1711" w:rsidP="008D18FB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tabs>
                <w:tab w:val="left" w:pos="1290"/>
              </w:tabs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Translation : Some Principles and Practices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7E1711" w:rsidRPr="007E1711" w:rsidRDefault="007E1711" w:rsidP="001A66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Management : An Overview</w:t>
            </w:r>
          </w:p>
        </w:tc>
        <w:tc>
          <w:tcPr>
            <w:tcW w:w="1440" w:type="dxa"/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shd w:val="clear" w:color="auto" w:fill="D3DFE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742" w:hanging="786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 xml:space="preserve"> Production-Operations and Supply Chain Management 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Industrial Marketing</w:t>
            </w:r>
          </w:p>
        </w:tc>
        <w:tc>
          <w:tcPr>
            <w:tcW w:w="1440" w:type="dxa"/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shd w:val="clear" w:color="auto" w:fill="D3DFE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Organizational Behavior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Interim Exam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Human Resource Management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Financial Management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Strategic Management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Knowledge and Change Management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Business Statistics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Research Methods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  <w:tr w:rsidR="007E1711" w:rsidRPr="00661D07" w:rsidTr="00295AF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1E1B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E1711" w:rsidRPr="00DB131F" w:rsidRDefault="007E1711" w:rsidP="008D18F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Pr="007E1711" w:rsidRDefault="007E1711" w:rsidP="001A6658">
            <w:pPr>
              <w:pStyle w:val="ListParagraph"/>
              <w:ind w:left="677" w:hanging="644"/>
              <w:rPr>
                <w:rFonts w:asciiTheme="majorBidi" w:hAnsiTheme="majorBidi" w:cstheme="majorBidi"/>
                <w:sz w:val="24"/>
                <w:szCs w:val="24"/>
              </w:rPr>
            </w:pPr>
            <w:r w:rsidRPr="007E1711">
              <w:rPr>
                <w:rFonts w:asciiTheme="majorBidi" w:hAnsiTheme="majorBidi" w:cstheme="majorBidi"/>
                <w:sz w:val="24"/>
                <w:szCs w:val="24"/>
              </w:rPr>
              <w:t>Research Papers and Reports Discussions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F254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7E1711" w:rsidRDefault="007E1711" w:rsidP="008D18FB">
            <w:pPr>
              <w:jc w:val="center"/>
            </w:pPr>
            <w:r w:rsidRPr="009908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</w:tr>
    </w:tbl>
    <w:p w:rsidR="00CC3DB5" w:rsidRPr="00661D07" w:rsidRDefault="00CC3DB5" w:rsidP="00CC3DB5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CC3DB5" w:rsidRPr="00661D07" w:rsidTr="001B687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8D18FB" w:rsidRPr="00661D07" w:rsidTr="001B687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8D18FB" w:rsidRPr="00661D07" w:rsidRDefault="008D18FB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8D18FB" w:rsidRPr="00661D07" w:rsidRDefault="008D18FB" w:rsidP="001B68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8D18FB" w:rsidRPr="00661D07" w:rsidRDefault="008D18FB" w:rsidP="001B68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8D18FB" w:rsidRPr="00661D07" w:rsidRDefault="008D18FB" w:rsidP="001B68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8D18FB" w:rsidRPr="00DB131F" w:rsidRDefault="00855171" w:rsidP="008D18FB">
            <w:pPr>
              <w:numPr>
                <w:ilvl w:val="3"/>
                <w:numId w:val="1"/>
              </w:numPr>
              <w:tabs>
                <w:tab w:val="clear" w:pos="2520"/>
              </w:tabs>
              <w:autoSpaceDE w:val="0"/>
              <w:autoSpaceDN w:val="0"/>
              <w:adjustRightInd w:val="0"/>
              <w:spacing w:after="0" w:line="240" w:lineRule="auto"/>
              <w:ind w:left="742" w:hanging="567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متنوعة</w:t>
            </w:r>
          </w:p>
        </w:tc>
      </w:tr>
      <w:tr w:rsidR="008D18FB" w:rsidRPr="00661D07" w:rsidTr="001B687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D18FB" w:rsidRPr="00661D07" w:rsidRDefault="008D18FB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D18FB" w:rsidRPr="00DB131F" w:rsidRDefault="008D18FB" w:rsidP="001B687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الى حدٍ ما</w:t>
            </w:r>
          </w:p>
        </w:tc>
      </w:tr>
      <w:tr w:rsidR="008D18FB" w:rsidRPr="00661D07" w:rsidTr="001B687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8D18FB" w:rsidRPr="00661D07" w:rsidRDefault="008D18FB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8D18FB" w:rsidRPr="00DB131F" w:rsidRDefault="008D18FB" w:rsidP="001B687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CC3DB5" w:rsidRPr="00661D07" w:rsidRDefault="00CC3DB5" w:rsidP="00CC3DB5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CC3DB5" w:rsidRPr="00661D07" w:rsidTr="001B687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C3DB5" w:rsidRPr="00661D07" w:rsidRDefault="00CC3DB5" w:rsidP="001B687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CC3DB5" w:rsidRPr="00661D07" w:rsidTr="001B687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C3DB5" w:rsidRPr="00661D07" w:rsidTr="001B687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C3DB5" w:rsidRPr="00661D07" w:rsidTr="001B687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CC3DB5" w:rsidRPr="00661D07" w:rsidRDefault="00CC3DB5" w:rsidP="001B68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CC3DB5" w:rsidRPr="00661D07" w:rsidRDefault="00CC3DB5" w:rsidP="00CC3DB5">
      <w:pPr>
        <w:rPr>
          <w:sz w:val="24"/>
          <w:szCs w:val="24"/>
        </w:rPr>
      </w:pPr>
    </w:p>
    <w:p w:rsidR="00E711C0" w:rsidRDefault="00E711C0"/>
    <w:sectPr w:rsidR="00E711C0" w:rsidSect="005968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compat/>
  <w:rsids>
    <w:rsidRoot w:val="00CC3DB5"/>
    <w:rsid w:val="002549D5"/>
    <w:rsid w:val="0070494C"/>
    <w:rsid w:val="007E1711"/>
    <w:rsid w:val="00855171"/>
    <w:rsid w:val="008D18FB"/>
    <w:rsid w:val="00B84AE2"/>
    <w:rsid w:val="00CC3DB5"/>
    <w:rsid w:val="00E711C0"/>
    <w:rsid w:val="00F9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1"/>
    <w:pPr>
      <w:bidi w:val="0"/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494</Words>
  <Characters>2820</Characters>
  <Application>Microsoft Office Word</Application>
  <DocSecurity>0</DocSecurity>
  <Lines>23</Lines>
  <Paragraphs>6</Paragraphs>
  <ScaleCrop>false</ScaleCrop>
  <Company>By DR.Ahmed Saker 2o1O ;)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6</cp:revision>
  <dcterms:created xsi:type="dcterms:W3CDTF">2015-01-08T03:15:00Z</dcterms:created>
  <dcterms:modified xsi:type="dcterms:W3CDTF">2015-01-08T03:33:00Z</dcterms:modified>
</cp:coreProperties>
</file>