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7307D"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307D" w:rsidRDefault="0067307D"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College  Name</w:t>
            </w:r>
          </w:p>
        </w:tc>
      </w:tr>
      <w:tr w:rsidR="0067307D"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307D" w:rsidRDefault="0067307D"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Department</w:t>
            </w:r>
          </w:p>
        </w:tc>
      </w:tr>
      <w:tr w:rsidR="0067307D"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307D" w:rsidRPr="00F26285" w:rsidRDefault="0067307D" w:rsidP="00326BF7">
            <w:pPr>
              <w:ind w:left="84"/>
              <w:rPr>
                <w:rFonts w:ascii="Times New Roman" w:hAnsi="Times New Roman"/>
                <w:b/>
                <w:bCs/>
                <w:sz w:val="32"/>
                <w:szCs w:val="32"/>
                <w:lang w:val="en-US"/>
              </w:rPr>
            </w:pPr>
            <w:bookmarkStart w:id="0" w:name="_GoBack"/>
            <w:r w:rsidRPr="00F26285">
              <w:rPr>
                <w:rFonts w:ascii="Times New Roman" w:hAnsi="Times New Roman"/>
                <w:b/>
                <w:bCs/>
                <w:sz w:val="32"/>
                <w:szCs w:val="32"/>
                <w:rtl/>
                <w:lang w:bidi="ar-IQ"/>
              </w:rPr>
              <w:t xml:space="preserve">سمر عادل حسين سليم </w:t>
            </w:r>
            <w:bookmarkEnd w:id="0"/>
            <w:r w:rsidRPr="00F26285">
              <w:rPr>
                <w:rFonts w:ascii="Times New Roman" w:hAnsi="Times New Roman"/>
                <w:b/>
                <w:bCs/>
                <w:sz w:val="32"/>
                <w:szCs w:val="32"/>
                <w:rtl/>
                <w:lang w:bidi="ar-IQ"/>
              </w:rPr>
              <w:t>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Full Name as written   in Passport</w:t>
            </w:r>
          </w:p>
        </w:tc>
      </w:tr>
      <w:tr w:rsidR="0067307D"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307D" w:rsidRDefault="0067307D"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e-mail</w:t>
            </w:r>
          </w:p>
        </w:tc>
      </w:tr>
      <w:tr w:rsidR="0067307D"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7307D" w:rsidRDefault="0067307D"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2700" r="10795" b="8255"/>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iV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iIU4ld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7307D" w:rsidRDefault="0067307D"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335" r="13335" b="7620"/>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IPapqT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7307D" w:rsidRDefault="0067307D"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2700" r="11430" b="8255"/>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J47BPbbAgAApA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7307D" w:rsidRDefault="0067307D"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065" r="14605" b="889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VZJrH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 xml:space="preserve">Career </w:t>
            </w:r>
          </w:p>
        </w:tc>
      </w:tr>
      <w:tr w:rsidR="0067307D"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7307D" w:rsidRDefault="0067307D"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1430" r="13335" b="952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523gIAAKIFAAAOAAAAZHJzL2Uyb0RvYy54bWysVMuO0zAU3SPxD5b3nSRt+oomHXU6LULi&#10;MdKAWLuxk1g4drDdpgNiBQs0PwIfgPiW9m+4dtrSYVggRCpV98Y3x+ceH9/zi00l0Jppw5VMcXQW&#10;YsRkpiiXRYpfv1p0RhgZSyQlQkmW4ltm8MXk8aPzpk5YV5VKUKYRgEiTNHWKS2vrJAhMVrKKmDNV&#10;MwmLudIVsZDqIqCaNIBeiaAbhoOgUZrWWmXMGHh71S7iicfPc5bZl3lumEUixcDN+n/t/5fuP5ic&#10;k6TQpC55tqdB/oFFRbiETY9QV8QStNL8AVTFM62Myu1ZpqpA5TnPmO8BuonC37q5KUnNfC8gjqmP&#10;Mpn/B5u9WF9rxGmKxxhJUsERbb/vPu0+o+233d32x/br7svuDo2dUE1tEqi/qa+1a9XUz1T21iCp&#10;ZiWRBZtqrZqSEQr0Ilcf3PvAJQY+RcvmuaKwD1lZ5TXb5LpygKAG2vijuT0eDdtYlMHLqN8Le32M&#10;MliKBmHY9UcXkOTwca2NfcJUhVyQYiYEr40TjyRk/cxYx4ckhyrPXwlOF1wIn+hiORMarQkYZeEf&#10;3wK0eVomJGqAQHcYhh763qI5xQj98ycMx+GKmLLdi0Lkqkii1UpSHzkR5/vYEi7aGOgL6QqZ93Xb&#10;E2QbC6F/D1p5z32YLvrhMO6NOsNhv9eJe/OwczlazDrTWTQYDOeXs8t59NE1EMVJySllcu4xzeEK&#10;RPHfWWx/GVvzHi/BkaBjpVaW6ZuSNohydzK9/rgbYUjgFjod4cGIiALGR2Y1RlrZN9yW3vvOBg7j&#10;nrKjgfvtlT2i++M92Th40FtbsQGpQMmDat6jzpatvZeK3oJFgYP3IQw2CEql32PUwJBIsXm3Ipph&#10;JJ5KsPk4imM3VXwS94fgSqRPV5anK0RmAJViC/36cGbbSbSqNS9K2Cny3Uo1hauRc+9Zd21aVsDb&#10;JTAIfAf7oeUmzWnuq36N1slPAA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MpIHnbeAgAAog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7307D" w:rsidRDefault="0067307D"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0955" r="33655" b="4762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kjQIAAOMEAAAOAAAAZHJzL2Uyb0RvYy54bWysVM1uEzEQviPxDpbvdHfz13TVTVVagpD4&#10;qVQQZ2ft3bXw2mbsZFOucEB9EXgAxLMkb8PYm4aUckIkkuXxjMffN9/Mnp6tW0VWApw0uqDZUUqJ&#10;0KXhUtcFffd2/mRKifNMc6aMFgW9EY6ezR4/Ou1sLgamMYoLIJhEu7yzBW28t3mSuLIRLXNHxgqN&#10;zspAyzyaUCccWIfZW5UM0nSSdAa4BVMK5/D0snfSWcxfVaL0b6rKCU9UQRGbjyvEdRHWZHbK8hqY&#10;bWS5g8H+AUXLpMZH96kumWdkCfJBqlaWYJyp/FFp2sRUlSxF5IBssvQPNtcNsyJyweI4uy+T+39p&#10;y9erKyCSFxSF0qxFiTY/tp+3X8jm+/Z283Pzbft1e0umoVCddTnGX9srCFSdfWnKD45oc9EwXYtz&#10;ANM1gnGEl4X45N6FYDi8ShbdK8PxHbb0JtZsXUEbEmI1yDpKc7OXRqw9KfEwGw/T4ZiSEl3ZJE0H&#10;UbqE5XeXLTj/XJiWhE1BhVLSulA8lrPVS+cDHpbfRUX8Rkk+l0pFA+rFhQKyYtgoo/k0e3oZKSDN&#10;wzClSVfQ4TRL05j6ntMd5pgPwv9vOcAsNY99F4r1bLf3TKp+jzCVDphE7F/EHgyz9AKuG94RLgPB&#10;wXR4gpJxic08nKaT9OSYEqZqnMLSAyVg/Hvpm9hCoZoPSA5Gw/mkP2fKNqynPk7xd4e65xMLt38+&#10;WgfIoshB174/FobfoMb4ehQSvwy4aQx8oqTDKSuo+7hkIChRLzT2yUk2GoWxjMZofIyyEjj0LA49&#10;TJeYqqAemcbthe9HeWlB1g2+lEWe2pxjb1Uyih76rke160icpEhiN/VhVA/tGPX72zT7BQ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EoP9WSNAgAA4w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7307D" w:rsidRDefault="0067307D" w:rsidP="00326BF7">
            <w:pPr>
              <w:ind w:left="84"/>
              <w:jc w:val="right"/>
              <w:rPr>
                <w:rFonts w:ascii="Tahoma" w:hAnsi="Tahoma" w:cs="Tahoma"/>
                <w:lang w:val="en-US" w:bidi="ar-IQ"/>
              </w:rPr>
            </w:pPr>
          </w:p>
        </w:tc>
      </w:tr>
      <w:tr w:rsidR="0067307D" w:rsidTr="00326BF7">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307D" w:rsidRPr="00F26285" w:rsidRDefault="0067307D" w:rsidP="00326BF7">
            <w:pPr>
              <w:bidi w:val="0"/>
              <w:ind w:left="84"/>
              <w:jc w:val="center"/>
              <w:rPr>
                <w:rFonts w:ascii="Times New Roman" w:hAnsi="Times New Roman" w:hint="cs"/>
                <w:b/>
                <w:bCs/>
                <w:sz w:val="32"/>
                <w:szCs w:val="32"/>
                <w:rtl/>
                <w:lang w:bidi="ar-IQ"/>
              </w:rPr>
            </w:pPr>
            <w:r w:rsidRPr="00F26285">
              <w:rPr>
                <w:rFonts w:ascii="Times New Roman" w:hAnsi="Times New Roman"/>
                <w:b/>
                <w:bCs/>
                <w:sz w:val="32"/>
                <w:szCs w:val="32"/>
                <w:rtl/>
                <w:lang w:bidi="ar-IQ"/>
              </w:rPr>
              <w:t xml:space="preserve">دور </w:t>
            </w:r>
            <w:proofErr w:type="spellStart"/>
            <w:r w:rsidRPr="00F26285">
              <w:rPr>
                <w:rFonts w:ascii="Times New Roman" w:hAnsi="Times New Roman"/>
                <w:b/>
                <w:bCs/>
                <w:sz w:val="32"/>
                <w:szCs w:val="32"/>
                <w:rtl/>
                <w:lang w:bidi="ar-IQ"/>
              </w:rPr>
              <w:t>مبادىء</w:t>
            </w:r>
            <w:proofErr w:type="spellEnd"/>
            <w:r w:rsidRPr="00F26285">
              <w:rPr>
                <w:rFonts w:ascii="Times New Roman" w:hAnsi="Times New Roman"/>
                <w:b/>
                <w:bCs/>
                <w:sz w:val="32"/>
                <w:szCs w:val="32"/>
                <w:rtl/>
                <w:lang w:bidi="ar-IQ"/>
              </w:rPr>
              <w:t xml:space="preserve"> عمل الاداء العالي وتطوير تقييم أداء العاملين في ممارسات منظومة عمل الاداء العالي بحث تحليلي في عينة من مكاتب المفتشين العامين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 xml:space="preserve">Thesis  Title </w:t>
            </w:r>
          </w:p>
        </w:tc>
      </w:tr>
      <w:tr w:rsidR="0067307D"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7307D" w:rsidRPr="00F26285" w:rsidRDefault="0067307D" w:rsidP="00326BF7">
            <w:pPr>
              <w:ind w:left="84"/>
              <w:jc w:val="center"/>
              <w:rPr>
                <w:rFonts w:ascii="Times New Roman" w:hAnsi="Times New Roman"/>
                <w:bCs/>
                <w:sz w:val="32"/>
                <w:szCs w:val="32"/>
                <w:lang w:val="en-US" w:bidi="ar-IQ"/>
              </w:rPr>
            </w:pPr>
            <w:r w:rsidRPr="00F26285">
              <w:rPr>
                <w:rFonts w:ascii="Times New Roman" w:hAnsi="Times New Roman"/>
                <w:b/>
                <w:bCs/>
                <w:sz w:val="32"/>
                <w:szCs w:val="32"/>
                <w:rtl/>
                <w:lang w:bidi="ar-IQ"/>
              </w:rPr>
              <w:t>1434هـ                                                      2013م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7307D" w:rsidRDefault="0067307D" w:rsidP="00326BF7">
            <w:pPr>
              <w:ind w:left="84"/>
              <w:jc w:val="right"/>
              <w:rPr>
                <w:rFonts w:ascii="Tahoma" w:hAnsi="Tahoma" w:cs="Tahoma"/>
                <w:lang w:val="en-US" w:bidi="ar-IQ"/>
              </w:rPr>
            </w:pPr>
            <w:r>
              <w:rPr>
                <w:rFonts w:ascii="Tahoma" w:hAnsi="Tahoma" w:cs="Tahoma"/>
                <w:lang w:val="en-US" w:bidi="ar-IQ"/>
              </w:rPr>
              <w:t>Year</w:t>
            </w:r>
          </w:p>
        </w:tc>
      </w:tr>
      <w:tr w:rsidR="0067307D" w:rsidRPr="00C06548" w:rsidTr="00326BF7">
        <w:trPr>
          <w:trHeight w:val="623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7307D" w:rsidRPr="00D72B90" w:rsidRDefault="0067307D" w:rsidP="00326BF7">
            <w:pPr>
              <w:ind w:left="84"/>
              <w:jc w:val="both"/>
              <w:rPr>
                <w:rFonts w:ascii="Times New Roman" w:hAnsi="Times New Roman"/>
                <w:b/>
                <w:bCs/>
                <w:sz w:val="20"/>
                <w:szCs w:val="20"/>
                <w:rtl/>
                <w:lang w:bidi="ar-IQ"/>
              </w:rPr>
            </w:pPr>
            <w:r w:rsidRPr="00D72B90">
              <w:rPr>
                <w:rFonts w:ascii="Times New Roman" w:hAnsi="Times New Roman"/>
                <w:b/>
                <w:bCs/>
                <w:sz w:val="20"/>
                <w:szCs w:val="20"/>
                <w:rtl/>
                <w:lang w:bidi="ar-IQ"/>
              </w:rPr>
              <w:t xml:space="preserve">       يهدف هذا البحث الى تحديد تأثير تطوير ابعاد تقييم اداء العاملين في ممارسات منظومة عمل الاداء العالي في مكاتب المفتشين العامين. </w:t>
            </w:r>
            <w:r w:rsidRPr="00D72B90">
              <w:rPr>
                <w:rFonts w:ascii="Times New Roman" w:hAnsi="Times New Roman"/>
                <w:b/>
                <w:bCs/>
                <w:color w:val="000000"/>
                <w:sz w:val="20"/>
                <w:szCs w:val="20"/>
                <w:rtl/>
                <w:lang w:bidi="ar-IQ"/>
              </w:rPr>
              <w:t xml:space="preserve">فقد لمست الباحثة حاجة المكاتب الى استنباط الاساليب التي توظف مخرجات تطوير ابعاد تقييم اداء العاملين فيها لتفعيل وتنشيط استخدام ممارسات منظومة عمل الاداء العالي بها من اجل تطوير أساليب ومستويات عملية تقييم الأداء الوظيفي ،فضلا عن الوقوف على مدى تأثير الدور الذي تمارسه عملية تطوير ابعاد تقييم اداء العاملين على عمل منظومة الاداء العالي في هذه المكاتب المهمة والمكلفة بالرقابة والتفتيش على عمل الوزارات الحكومية في العراق. </w:t>
            </w:r>
          </w:p>
          <w:p w:rsidR="0067307D" w:rsidRPr="00D72B90" w:rsidRDefault="0067307D" w:rsidP="00326BF7">
            <w:pPr>
              <w:ind w:left="84"/>
              <w:jc w:val="both"/>
              <w:rPr>
                <w:rFonts w:ascii="Times New Roman" w:hAnsi="Times New Roman"/>
                <w:b/>
                <w:bCs/>
                <w:color w:val="000000"/>
                <w:sz w:val="20"/>
                <w:szCs w:val="20"/>
                <w:rtl/>
                <w:lang w:bidi="ar-IQ"/>
              </w:rPr>
            </w:pPr>
            <w:r w:rsidRPr="00D72B90">
              <w:rPr>
                <w:rFonts w:ascii="Times New Roman" w:hAnsi="Times New Roman"/>
                <w:b/>
                <w:bCs/>
                <w:color w:val="000000"/>
                <w:sz w:val="20"/>
                <w:szCs w:val="20"/>
                <w:rtl/>
                <w:lang w:bidi="ar-IQ"/>
              </w:rPr>
              <w:t xml:space="preserve">      يتمثل الهدف الاساسي لهذا البحث بإعداد إطار نظري للمرتكزات الفكرية والاساسيات المعرفية لعمل منظومة عمل الاداء العالي في ظل تأثير ابعاد تقييم اداء العاملين وتحليل تأثير متغيرات منظومة عمل الاداء العالي . وتأتي قيمة هذا البحث وأصالته من خلال حداثة المتغيرات التي تناولها (تأثير تطوير ابعاد تقييم اداء العاملين  , وممارسات منــــــظومة عمل الاداء العالي ) , فضلا عن السعي الى تبني نماذج مدروسة في البلدان المتقدمة وتطويرها محليا وتطبيقها على مجتمعات بحثية يمكن ان تدعم التطوير المعرفي </w:t>
            </w:r>
            <w:proofErr w:type="spellStart"/>
            <w:r w:rsidRPr="00D72B90">
              <w:rPr>
                <w:rFonts w:ascii="Times New Roman" w:hAnsi="Times New Roman"/>
                <w:b/>
                <w:bCs/>
                <w:color w:val="000000"/>
                <w:sz w:val="20"/>
                <w:szCs w:val="20"/>
                <w:rtl/>
                <w:lang w:bidi="ar-IQ"/>
              </w:rPr>
              <w:t>لادارة</w:t>
            </w:r>
            <w:proofErr w:type="spellEnd"/>
            <w:r w:rsidRPr="00D72B90">
              <w:rPr>
                <w:rFonts w:ascii="Times New Roman" w:hAnsi="Times New Roman"/>
                <w:b/>
                <w:bCs/>
                <w:color w:val="000000"/>
                <w:sz w:val="20"/>
                <w:szCs w:val="20"/>
                <w:rtl/>
                <w:lang w:bidi="ar-IQ"/>
              </w:rPr>
              <w:t xml:space="preserve"> الموارد البشرية التطبيقية في العراق, </w:t>
            </w:r>
            <w:proofErr w:type="spellStart"/>
            <w:r w:rsidRPr="00D72B90">
              <w:rPr>
                <w:rFonts w:ascii="Times New Roman" w:hAnsi="Times New Roman"/>
                <w:b/>
                <w:bCs/>
                <w:color w:val="000000"/>
                <w:sz w:val="20"/>
                <w:szCs w:val="20"/>
                <w:rtl/>
                <w:lang w:bidi="ar-IQ"/>
              </w:rPr>
              <w:t>ولاجل</w:t>
            </w:r>
            <w:proofErr w:type="spellEnd"/>
            <w:r w:rsidRPr="00D72B90">
              <w:rPr>
                <w:rFonts w:ascii="Times New Roman" w:hAnsi="Times New Roman"/>
                <w:b/>
                <w:bCs/>
                <w:color w:val="000000"/>
                <w:sz w:val="20"/>
                <w:szCs w:val="20"/>
                <w:rtl/>
                <w:lang w:bidi="ar-IQ"/>
              </w:rPr>
              <w:t xml:space="preserve"> تحقيق ذلك , ف</w:t>
            </w:r>
            <w:r w:rsidRPr="00D72B90">
              <w:rPr>
                <w:rFonts w:ascii="Times New Roman" w:hAnsi="Times New Roman"/>
                <w:b/>
                <w:bCs/>
                <w:sz w:val="20"/>
                <w:szCs w:val="20"/>
                <w:rtl/>
                <w:lang w:bidi="ar-IQ"/>
              </w:rPr>
              <w:t xml:space="preserve">من خلال الفكر النظري والدراسات السابقة ذات العلاقة جرى بناء </w:t>
            </w:r>
            <w:proofErr w:type="spellStart"/>
            <w:r w:rsidRPr="00D72B90">
              <w:rPr>
                <w:rFonts w:ascii="Times New Roman" w:hAnsi="Times New Roman"/>
                <w:b/>
                <w:bCs/>
                <w:sz w:val="20"/>
                <w:szCs w:val="20"/>
                <w:rtl/>
                <w:lang w:bidi="ar-IQ"/>
              </w:rPr>
              <w:t>مخططا</w:t>
            </w:r>
            <w:r w:rsidRPr="00D72B90">
              <w:rPr>
                <w:rFonts w:ascii="Times New Roman" w:hAnsi="Times New Roman" w:cs="Simplified Arabic"/>
                <w:b/>
                <w:bCs/>
                <w:sz w:val="20"/>
                <w:szCs w:val="20"/>
                <w:rtl/>
                <w:lang w:bidi="ar-IQ"/>
              </w:rPr>
              <w:t>ﹰ</w:t>
            </w:r>
            <w:proofErr w:type="spellEnd"/>
            <w:r w:rsidRPr="00D72B90">
              <w:rPr>
                <w:rFonts w:ascii="Times New Roman" w:hAnsi="Times New Roman"/>
                <w:b/>
                <w:bCs/>
                <w:sz w:val="20"/>
                <w:szCs w:val="20"/>
                <w:rtl/>
                <w:lang w:bidi="ar-IQ"/>
              </w:rPr>
              <w:t xml:space="preserve"> </w:t>
            </w:r>
            <w:proofErr w:type="spellStart"/>
            <w:r w:rsidRPr="00D72B90">
              <w:rPr>
                <w:rFonts w:ascii="Times New Roman" w:hAnsi="Times New Roman"/>
                <w:b/>
                <w:bCs/>
                <w:sz w:val="20"/>
                <w:szCs w:val="20"/>
                <w:rtl/>
                <w:lang w:bidi="ar-IQ"/>
              </w:rPr>
              <w:t>فرضيا</w:t>
            </w:r>
            <w:r w:rsidRPr="00D72B90">
              <w:rPr>
                <w:rFonts w:ascii="Times New Roman" w:hAnsi="Times New Roman" w:cs="Simplified Arabic"/>
                <w:b/>
                <w:bCs/>
                <w:sz w:val="20"/>
                <w:szCs w:val="20"/>
                <w:rtl/>
                <w:lang w:bidi="ar-IQ"/>
              </w:rPr>
              <w:t>ﹰ</w:t>
            </w:r>
            <w:proofErr w:type="spellEnd"/>
            <w:r w:rsidRPr="00D72B90">
              <w:rPr>
                <w:rFonts w:ascii="Times New Roman" w:hAnsi="Times New Roman"/>
                <w:b/>
                <w:bCs/>
                <w:sz w:val="20"/>
                <w:szCs w:val="20"/>
                <w:rtl/>
                <w:lang w:bidi="ar-IQ"/>
              </w:rPr>
              <w:t xml:space="preserve"> , يوضح العلاقة بين متغيرات الدراسة، وقد تفاعلت هذه المتغيرات لتشكل الإطار الذي يدور حوله البحث.</w:t>
            </w:r>
          </w:p>
          <w:p w:rsidR="0067307D" w:rsidRPr="00D72B90" w:rsidRDefault="0067307D" w:rsidP="00326BF7">
            <w:pPr>
              <w:ind w:left="84"/>
              <w:jc w:val="both"/>
              <w:rPr>
                <w:rStyle w:val="longtext"/>
                <w:rFonts w:ascii="Times New Roman" w:hAnsi="Times New Roman"/>
                <w:b/>
                <w:bCs/>
                <w:sz w:val="20"/>
                <w:szCs w:val="20"/>
                <w:rtl/>
              </w:rPr>
            </w:pPr>
            <w:r w:rsidRPr="00D72B90">
              <w:rPr>
                <w:rFonts w:ascii="Times New Roman" w:hAnsi="Times New Roman"/>
                <w:b/>
                <w:bCs/>
                <w:sz w:val="20"/>
                <w:szCs w:val="20"/>
                <w:rtl/>
                <w:lang w:bidi="ar-IQ"/>
              </w:rPr>
              <w:t xml:space="preserve">تكوَن مجتمع البحث من الإداريين اصحاب المناصب الإدارية , ضمن مستوى الإدارة الوسطى العاملين في مكاتب المفتشين العامين في وزارات ( التعليم العالي والبحث العلمي , والاعمار والاسكان , والثقافة, والتربية , والهجرة والمهجرين , والبلديات والاشغال ) , فضلا عن الافراد العاملين فيها ، لتكون </w:t>
            </w:r>
            <w:r w:rsidRPr="00D72B90">
              <w:rPr>
                <w:rStyle w:val="longtext"/>
                <w:rFonts w:ascii="Times New Roman" w:hAnsi="Times New Roman"/>
                <w:b/>
                <w:bCs/>
                <w:sz w:val="20"/>
                <w:szCs w:val="20"/>
                <w:rtl/>
              </w:rPr>
              <w:t>أداة المقياس هي الاستبانة , وعلى وفق مقاييس مُعدِّة ومكيَّفة, وكانت إجراءات توزيع العينة على المكاتب عينة البحث  (</w:t>
            </w:r>
            <w:r w:rsidRPr="00D72B90">
              <w:rPr>
                <w:rFonts w:ascii="Times New Roman" w:hAnsi="Times New Roman"/>
                <w:b/>
                <w:bCs/>
                <w:sz w:val="20"/>
                <w:szCs w:val="20"/>
                <w:rtl/>
                <w:lang w:bidi="ar-IQ"/>
              </w:rPr>
              <w:t>170</w:t>
            </w:r>
            <w:r w:rsidRPr="00D72B90">
              <w:rPr>
                <w:rStyle w:val="longtext"/>
                <w:rFonts w:ascii="Times New Roman" w:hAnsi="Times New Roman"/>
                <w:b/>
                <w:bCs/>
                <w:sz w:val="20"/>
                <w:szCs w:val="20"/>
                <w:rtl/>
              </w:rPr>
              <w:t>)</w:t>
            </w:r>
            <w:r w:rsidRPr="00D72B90">
              <w:rPr>
                <w:rFonts w:ascii="Times New Roman" w:hAnsi="Times New Roman"/>
                <w:b/>
                <w:bCs/>
                <w:sz w:val="20"/>
                <w:szCs w:val="20"/>
                <w:rtl/>
                <w:lang w:bidi="ar-IQ"/>
              </w:rPr>
              <w:t xml:space="preserve"> استبانة ، وكانت نسبة الاستجابة (95,88%) , </w:t>
            </w:r>
            <w:r w:rsidRPr="00D72B90">
              <w:rPr>
                <w:rFonts w:ascii="Times New Roman" w:hAnsi="Times New Roman"/>
                <w:b/>
                <w:bCs/>
                <w:color w:val="000000"/>
                <w:sz w:val="20"/>
                <w:szCs w:val="20"/>
                <w:rtl/>
                <w:lang w:bidi="ar-IQ"/>
              </w:rPr>
              <w:t xml:space="preserve">وباستعمال الاساليب الاحصائية , </w:t>
            </w:r>
            <w:r w:rsidRPr="00D72B90">
              <w:rPr>
                <w:rFonts w:ascii="Times New Roman" w:hAnsi="Times New Roman"/>
                <w:b/>
                <w:bCs/>
                <w:sz w:val="20"/>
                <w:szCs w:val="20"/>
                <w:rtl/>
              </w:rPr>
              <w:t xml:space="preserve">مصفوفة الارتباط المتمثلة بمعاملات الارتباط البسيط </w:t>
            </w:r>
            <w:r w:rsidRPr="00D72B90">
              <w:rPr>
                <w:rFonts w:ascii="Times New Roman" w:hAnsi="Times New Roman"/>
                <w:b/>
                <w:bCs/>
                <w:sz w:val="20"/>
                <w:szCs w:val="20"/>
              </w:rPr>
              <w:t>(Pearson)</w:t>
            </w:r>
            <w:r w:rsidRPr="00D72B90">
              <w:rPr>
                <w:rFonts w:ascii="Times New Roman" w:hAnsi="Times New Roman"/>
                <w:b/>
                <w:bCs/>
                <w:sz w:val="20"/>
                <w:szCs w:val="20"/>
                <w:rtl/>
              </w:rPr>
              <w:t xml:space="preserve"> , ومنهج معادلة </w:t>
            </w:r>
            <w:proofErr w:type="spellStart"/>
            <w:r w:rsidRPr="00D72B90">
              <w:rPr>
                <w:rFonts w:ascii="Times New Roman" w:hAnsi="Times New Roman"/>
                <w:b/>
                <w:bCs/>
                <w:sz w:val="20"/>
                <w:szCs w:val="20"/>
                <w:rtl/>
              </w:rPr>
              <w:t>النمذجة</w:t>
            </w:r>
            <w:proofErr w:type="spellEnd"/>
            <w:r w:rsidRPr="00D72B90">
              <w:rPr>
                <w:rFonts w:ascii="Times New Roman" w:hAnsi="Times New Roman"/>
                <w:b/>
                <w:bCs/>
                <w:sz w:val="20"/>
                <w:szCs w:val="20"/>
                <w:rtl/>
              </w:rPr>
              <w:t xml:space="preserve"> الهيكلية </w:t>
            </w:r>
            <w:r w:rsidRPr="00D72B90">
              <w:rPr>
                <w:rFonts w:ascii="Times New Roman" w:hAnsi="Times New Roman"/>
                <w:b/>
                <w:bCs/>
                <w:sz w:val="20"/>
                <w:szCs w:val="20"/>
              </w:rPr>
              <w:t xml:space="preserve">(Structural Equation </w:t>
            </w:r>
            <w:proofErr w:type="spellStart"/>
            <w:r w:rsidRPr="00D72B90">
              <w:rPr>
                <w:rFonts w:ascii="Times New Roman" w:hAnsi="Times New Roman"/>
                <w:b/>
                <w:bCs/>
                <w:sz w:val="20"/>
                <w:szCs w:val="20"/>
              </w:rPr>
              <w:t>Modeling</w:t>
            </w:r>
            <w:proofErr w:type="spellEnd"/>
            <w:r w:rsidRPr="00D72B90">
              <w:rPr>
                <w:rFonts w:ascii="Times New Roman" w:hAnsi="Times New Roman"/>
                <w:b/>
                <w:bCs/>
                <w:sz w:val="20"/>
                <w:szCs w:val="20"/>
              </w:rPr>
              <w:t>)</w:t>
            </w:r>
            <w:r w:rsidRPr="00D72B90">
              <w:rPr>
                <w:rFonts w:ascii="Times New Roman" w:hAnsi="Times New Roman"/>
                <w:b/>
                <w:bCs/>
                <w:sz w:val="20"/>
                <w:szCs w:val="20"/>
                <w:rtl/>
              </w:rPr>
              <w:t xml:space="preserve">، وتحليل المتغير الوسيط باستخدام طريقة </w:t>
            </w:r>
            <w:r w:rsidRPr="00D72B90">
              <w:rPr>
                <w:rFonts w:ascii="Times New Roman" w:hAnsi="Times New Roman"/>
                <w:b/>
                <w:bCs/>
                <w:sz w:val="20"/>
                <w:szCs w:val="20"/>
              </w:rPr>
              <w:t>(Baron &amp; Kenney, 1986)</w:t>
            </w:r>
            <w:r w:rsidRPr="00D72B90">
              <w:rPr>
                <w:rFonts w:ascii="Times New Roman" w:hAnsi="Times New Roman"/>
                <w:b/>
                <w:bCs/>
                <w:sz w:val="20"/>
                <w:szCs w:val="20"/>
                <w:rtl/>
              </w:rPr>
              <w:t xml:space="preserve"> , وتحليلها عن طريق البرامج الاحصائية </w:t>
            </w:r>
            <w:r w:rsidRPr="00D72B90">
              <w:rPr>
                <w:rStyle w:val="longtext"/>
                <w:rFonts w:ascii="Times New Roman" w:hAnsi="Times New Roman"/>
                <w:b/>
                <w:bCs/>
                <w:sz w:val="20"/>
                <w:szCs w:val="20"/>
                <w:rtl/>
              </w:rPr>
              <w:t>(</w:t>
            </w:r>
            <w:r w:rsidRPr="00D72B90">
              <w:rPr>
                <w:rStyle w:val="longtext"/>
                <w:rFonts w:ascii="Times New Roman" w:hAnsi="Times New Roman"/>
                <w:b/>
                <w:bCs/>
                <w:sz w:val="20"/>
                <w:szCs w:val="20"/>
              </w:rPr>
              <w:t>LISREL 8.54</w:t>
            </w:r>
            <w:proofErr w:type="gramStart"/>
            <w:r w:rsidRPr="00D72B90">
              <w:rPr>
                <w:rStyle w:val="longtext"/>
                <w:rFonts w:ascii="Times New Roman" w:hAnsi="Times New Roman"/>
                <w:b/>
                <w:bCs/>
                <w:sz w:val="20"/>
                <w:szCs w:val="20"/>
                <w:rtl/>
              </w:rPr>
              <w:t>)</w:t>
            </w:r>
            <w:r w:rsidRPr="00D72B90">
              <w:rPr>
                <w:rStyle w:val="longtext"/>
                <w:rFonts w:ascii="Times New Roman" w:hAnsi="Times New Roman"/>
                <w:b/>
                <w:bCs/>
                <w:sz w:val="20"/>
                <w:szCs w:val="20"/>
                <w:rtl/>
                <w:lang w:bidi="ar-IQ"/>
              </w:rPr>
              <w:t>،</w:t>
            </w:r>
            <w:proofErr w:type="gramEnd"/>
            <w:r w:rsidRPr="00D72B90">
              <w:rPr>
                <w:rStyle w:val="longtext"/>
                <w:rFonts w:ascii="Times New Roman" w:hAnsi="Times New Roman"/>
                <w:b/>
                <w:bCs/>
                <w:sz w:val="20"/>
                <w:szCs w:val="20"/>
                <w:rtl/>
                <w:lang w:bidi="ar-IQ"/>
              </w:rPr>
              <w:t xml:space="preserve"> (</w:t>
            </w:r>
            <w:r w:rsidRPr="00D72B90">
              <w:rPr>
                <w:rStyle w:val="longtext"/>
                <w:rFonts w:ascii="Times New Roman" w:hAnsi="Times New Roman"/>
                <w:b/>
                <w:bCs/>
                <w:sz w:val="20"/>
                <w:szCs w:val="20"/>
              </w:rPr>
              <w:t>SPSS V.11.5</w:t>
            </w:r>
            <w:r w:rsidRPr="00D72B90">
              <w:rPr>
                <w:rStyle w:val="longtext"/>
                <w:rFonts w:ascii="Times New Roman" w:hAnsi="Times New Roman"/>
                <w:b/>
                <w:bCs/>
                <w:sz w:val="20"/>
                <w:szCs w:val="20"/>
                <w:rtl/>
              </w:rPr>
              <w:t>)، (</w:t>
            </w:r>
            <w:r w:rsidRPr="00D72B90">
              <w:rPr>
                <w:rStyle w:val="longtext"/>
                <w:rFonts w:ascii="Times New Roman" w:hAnsi="Times New Roman"/>
                <w:b/>
                <w:bCs/>
                <w:sz w:val="20"/>
                <w:szCs w:val="20"/>
              </w:rPr>
              <w:t>HLM7</w:t>
            </w:r>
            <w:r w:rsidRPr="00D72B90">
              <w:rPr>
                <w:rStyle w:val="longtext"/>
                <w:rFonts w:ascii="Times New Roman" w:hAnsi="Times New Roman"/>
                <w:b/>
                <w:bCs/>
                <w:sz w:val="20"/>
                <w:szCs w:val="20"/>
                <w:rtl/>
              </w:rPr>
              <w:t xml:space="preserve">). </w:t>
            </w:r>
          </w:p>
          <w:p w:rsidR="0067307D" w:rsidRPr="00074D6C" w:rsidRDefault="0067307D" w:rsidP="00326BF7">
            <w:pPr>
              <w:ind w:left="84"/>
              <w:jc w:val="both"/>
              <w:rPr>
                <w:rFonts w:ascii="Times New Roman" w:hAnsi="Times New Roman"/>
                <w:b/>
                <w:bCs/>
                <w:sz w:val="20"/>
                <w:szCs w:val="20"/>
              </w:rPr>
            </w:pPr>
            <w:r w:rsidRPr="00D72B90">
              <w:rPr>
                <w:rStyle w:val="longtext"/>
                <w:rFonts w:ascii="Times New Roman" w:hAnsi="Times New Roman"/>
                <w:b/>
                <w:bCs/>
                <w:sz w:val="20"/>
                <w:szCs w:val="20"/>
                <w:rtl/>
              </w:rPr>
              <w:t xml:space="preserve">    وتوصلت نتائج البحث </w:t>
            </w:r>
            <w:r w:rsidRPr="00D72B90">
              <w:rPr>
                <w:rFonts w:ascii="Times New Roman" w:hAnsi="Times New Roman"/>
                <w:b/>
                <w:bCs/>
                <w:sz w:val="20"/>
                <w:szCs w:val="20"/>
                <w:rtl/>
              </w:rPr>
              <w:t xml:space="preserve">الى ان تأثير تطوير ابعاد تقييم اداء العاملين , وتطبيق </w:t>
            </w:r>
            <w:proofErr w:type="spellStart"/>
            <w:r w:rsidRPr="00D72B90">
              <w:rPr>
                <w:rFonts w:ascii="Times New Roman" w:hAnsi="Times New Roman"/>
                <w:b/>
                <w:bCs/>
                <w:sz w:val="20"/>
                <w:szCs w:val="20"/>
                <w:rtl/>
              </w:rPr>
              <w:t>المبادىء</w:t>
            </w:r>
            <w:proofErr w:type="spellEnd"/>
            <w:r w:rsidRPr="00D72B90">
              <w:rPr>
                <w:rFonts w:ascii="Times New Roman" w:hAnsi="Times New Roman"/>
                <w:b/>
                <w:bCs/>
                <w:sz w:val="20"/>
                <w:szCs w:val="20"/>
                <w:rtl/>
              </w:rPr>
              <w:t xml:space="preserve"> الصحيحة لمنظومة عمل الاداء العالي لهما الدور الايجابي في تحسين ممارسات منظومة عمل الاداء العالي, مما يدعم الصياغة الاحصائية لفرضيات البحث. إذ إن تبني ممارسات  منظومة عمل الاداء العالي في منظمات الدول المتقدمة والنامية على حد سواء لا يختلف طالما توجد امكانيات التعديل والتطوير للمقاييس من متخصصين في السلوك التنظيمي وادارة الموارد البشرية. وأوصى البحث الحالية بضرورة الأخذ بنموذج البحث المقترح وتبنيه لضروراته الايجابية بالتطبيق , وصولا لبناء وتطوير منظومة عمل الاداء العالي , التي هي أحوج ما تكون اليه مكاتب المفتشين العامين في العراق , بهدف تعزيز دورها بوصفها منظمة رقابية , ومن خلال العاملين فيها الى رسم استراتيجيات ملائمة لمكافحة الفساد الاداري والمالي طبقا للرؤى والاهداف المحددة لهذا الغرض ضمن استراتيجية هيئة النزاهة للمدة (2010-2014)</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7307D" w:rsidRDefault="0067307D" w:rsidP="00326BF7">
            <w:pPr>
              <w:spacing w:line="360" w:lineRule="auto"/>
              <w:ind w:left="84"/>
              <w:rPr>
                <w:rFonts w:ascii="Tahoma" w:hAnsi="Tahoma" w:cs="Tahoma"/>
                <w:sz w:val="14"/>
                <w:szCs w:val="14"/>
                <w:rtl/>
                <w:lang w:val="en-US" w:bidi="ar-IQ"/>
              </w:rPr>
            </w:pPr>
          </w:p>
          <w:p w:rsidR="0067307D" w:rsidRDefault="0067307D" w:rsidP="00326BF7">
            <w:pPr>
              <w:spacing w:line="360" w:lineRule="auto"/>
              <w:ind w:left="84"/>
              <w:jc w:val="right"/>
              <w:rPr>
                <w:rFonts w:ascii="Tahoma" w:hAnsi="Tahoma" w:cs="Tahoma"/>
                <w:sz w:val="14"/>
                <w:szCs w:val="14"/>
                <w:rtl/>
                <w:lang w:val="en-US" w:bidi="ar-IQ"/>
              </w:rPr>
            </w:pPr>
          </w:p>
          <w:p w:rsidR="0067307D" w:rsidRPr="00C06548" w:rsidRDefault="0067307D"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D0E85" w:rsidRPr="0067307D" w:rsidRDefault="00AD0E85" w:rsidP="0067307D">
      <w:pPr>
        <w:rPr>
          <w:lang w:bidi="ar-IQ"/>
        </w:rPr>
      </w:pPr>
    </w:p>
    <w:sectPr w:rsidR="00AD0E85" w:rsidRPr="0067307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67307D"/>
    <w:rsid w:val="009F515C"/>
    <w:rsid w:val="00AD0E85"/>
    <w:rsid w:val="00B53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2015-06-02T07:04:00Z</dcterms:created>
  <dcterms:modified xsi:type="dcterms:W3CDTF">2015-06-02T07:04:00Z</dcterms:modified>
</cp:coreProperties>
</file>