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F1CDD"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F1CDD" w:rsidRDefault="00FF1CDD"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F1CDD" w:rsidRDefault="00FF1CDD" w:rsidP="00AB6DB2">
            <w:pPr>
              <w:ind w:left="84"/>
              <w:jc w:val="right"/>
              <w:rPr>
                <w:rFonts w:ascii="Tahoma" w:hAnsi="Tahoma" w:cs="Tahoma"/>
                <w:lang w:val="en-US" w:bidi="ar-IQ"/>
              </w:rPr>
            </w:pPr>
            <w:r>
              <w:rPr>
                <w:rFonts w:ascii="Tahoma" w:hAnsi="Tahoma" w:cs="Tahoma"/>
                <w:lang w:val="en-US" w:bidi="ar-IQ"/>
              </w:rPr>
              <w:t>College  Name</w:t>
            </w:r>
          </w:p>
        </w:tc>
      </w:tr>
      <w:tr w:rsidR="00FF1CDD"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F1CDD" w:rsidRDefault="00FF1CDD"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F1CDD" w:rsidRDefault="00FF1CDD" w:rsidP="00AB6DB2">
            <w:pPr>
              <w:ind w:left="84"/>
              <w:jc w:val="right"/>
              <w:rPr>
                <w:rFonts w:ascii="Tahoma" w:hAnsi="Tahoma" w:cs="Tahoma"/>
                <w:lang w:val="en-US" w:bidi="ar-IQ"/>
              </w:rPr>
            </w:pPr>
            <w:r>
              <w:rPr>
                <w:rFonts w:ascii="Tahoma" w:hAnsi="Tahoma" w:cs="Tahoma"/>
                <w:lang w:val="en-US" w:bidi="ar-IQ"/>
              </w:rPr>
              <w:t>Department</w:t>
            </w:r>
          </w:p>
        </w:tc>
      </w:tr>
      <w:tr w:rsidR="00FF1CDD"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F1CDD" w:rsidRPr="0030707B" w:rsidRDefault="00FF1CDD" w:rsidP="00AB6DB2">
            <w:pPr>
              <w:ind w:left="84"/>
              <w:rPr>
                <w:rFonts w:ascii="Times New Roman" w:hAnsi="Times New Roman"/>
                <w:b/>
                <w:bCs/>
                <w:sz w:val="32"/>
                <w:szCs w:val="32"/>
                <w:lang w:val="en-US"/>
              </w:rPr>
            </w:pPr>
            <w:bookmarkStart w:id="0" w:name="_GoBack"/>
            <w:r w:rsidRPr="0030707B">
              <w:rPr>
                <w:rFonts w:ascii="Times New Roman" w:hAnsi="Times New Roman"/>
                <w:b/>
                <w:bCs/>
                <w:sz w:val="32"/>
                <w:szCs w:val="32"/>
                <w:rtl/>
              </w:rPr>
              <w:t>حيدر خضير جوان</w:t>
            </w:r>
            <w:bookmarkEnd w:id="0"/>
            <w:r w:rsidRPr="0030707B">
              <w:rPr>
                <w:rFonts w:ascii="Times New Roman" w:hAnsi="Times New Roman"/>
                <w:b/>
                <w:bCs/>
                <w:sz w:val="32"/>
                <w:szCs w:val="32"/>
                <w:rtl/>
              </w:rPr>
              <w:t xml:space="preserve"> </w:t>
            </w:r>
            <w:proofErr w:type="spellStart"/>
            <w:r w:rsidRPr="0030707B">
              <w:rPr>
                <w:rFonts w:ascii="Times New Roman" w:hAnsi="Times New Roman"/>
                <w:b/>
                <w:bCs/>
                <w:sz w:val="32"/>
                <w:szCs w:val="32"/>
                <w:rtl/>
              </w:rPr>
              <w:t>الزيدي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F1CDD" w:rsidRDefault="00FF1CDD" w:rsidP="00AB6DB2">
            <w:pPr>
              <w:ind w:left="84"/>
              <w:jc w:val="right"/>
              <w:rPr>
                <w:rFonts w:ascii="Tahoma" w:hAnsi="Tahoma" w:cs="Tahoma"/>
                <w:lang w:val="en-US" w:bidi="ar-IQ"/>
              </w:rPr>
            </w:pPr>
            <w:r>
              <w:rPr>
                <w:rFonts w:ascii="Tahoma" w:hAnsi="Tahoma" w:cs="Tahoma"/>
                <w:lang w:val="en-US" w:bidi="ar-IQ"/>
              </w:rPr>
              <w:t>Full Name as written   in Passport</w:t>
            </w:r>
          </w:p>
        </w:tc>
      </w:tr>
      <w:tr w:rsidR="00FF1CDD"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F1CDD" w:rsidRDefault="00FF1CDD"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F1CDD" w:rsidRDefault="00FF1CDD" w:rsidP="00AB6DB2">
            <w:pPr>
              <w:ind w:left="84"/>
              <w:jc w:val="right"/>
              <w:rPr>
                <w:rFonts w:ascii="Tahoma" w:hAnsi="Tahoma" w:cs="Tahoma"/>
                <w:lang w:val="en-US" w:bidi="ar-IQ"/>
              </w:rPr>
            </w:pPr>
            <w:r>
              <w:rPr>
                <w:rFonts w:ascii="Tahoma" w:hAnsi="Tahoma" w:cs="Tahoma"/>
                <w:lang w:val="en-US" w:bidi="ar-IQ"/>
              </w:rPr>
              <w:t>e-mail</w:t>
            </w:r>
          </w:p>
        </w:tc>
      </w:tr>
      <w:tr w:rsidR="00FF1CDD"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F1CDD" w:rsidRDefault="00FF1CDD"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350" r="10795" b="14605"/>
                      <wp:wrapNone/>
                      <wp:docPr id="108" name="شكل بيضاوي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KE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A7PsoT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F1CDD" w:rsidRPr="00A44A11" w:rsidRDefault="00FF1CDD"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985" r="13335" b="13970"/>
                      <wp:wrapNone/>
                      <wp:docPr id="107" name="شكل بيضاوي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wQ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Ih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tJcwQ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F1CDD" w:rsidRDefault="00FF1CDD"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350" r="11430" b="14605"/>
                      <wp:wrapNone/>
                      <wp:docPr id="106" name="شكل بيضاوي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K8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IB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pwZyvN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F1CDD" w:rsidRDefault="00FF1CDD"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5240" r="14605" b="15240"/>
                      <wp:wrapNone/>
                      <wp:docPr id="105" name="شكل بيضاوي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GS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LhkwZL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F1CDD" w:rsidRDefault="00FF1CDD" w:rsidP="00AB6DB2">
            <w:pPr>
              <w:ind w:left="84"/>
              <w:jc w:val="right"/>
              <w:rPr>
                <w:rFonts w:ascii="Tahoma" w:hAnsi="Tahoma" w:cs="Tahoma"/>
                <w:lang w:val="en-US" w:bidi="ar-IQ"/>
              </w:rPr>
            </w:pPr>
            <w:r>
              <w:rPr>
                <w:rFonts w:ascii="Tahoma" w:hAnsi="Tahoma" w:cs="Tahoma"/>
                <w:lang w:val="en-US" w:bidi="ar-IQ"/>
              </w:rPr>
              <w:t xml:space="preserve">Career </w:t>
            </w:r>
          </w:p>
        </w:tc>
      </w:tr>
      <w:tr w:rsidR="00FF1CDD"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F1CDD" w:rsidRDefault="00FF1CDD"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4605" r="13335" b="6350"/>
                      <wp:wrapNone/>
                      <wp:docPr id="104" name="شكل بيضاوي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4"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mt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NI5Zre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F1CDD" w:rsidRDefault="00FF1CDD"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4130" r="33655" b="44450"/>
                      <wp:wrapNone/>
                      <wp:docPr id="103" name="شكل بيضاوي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3"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F1CDD" w:rsidRDefault="00FF1CDD" w:rsidP="00AB6DB2">
            <w:pPr>
              <w:ind w:left="84"/>
              <w:jc w:val="right"/>
              <w:rPr>
                <w:rFonts w:ascii="Tahoma" w:hAnsi="Tahoma" w:cs="Tahoma"/>
                <w:lang w:val="en-US" w:bidi="ar-IQ"/>
              </w:rPr>
            </w:pPr>
          </w:p>
        </w:tc>
      </w:tr>
      <w:tr w:rsidR="00FF1CDD" w:rsidTr="00AB6DB2">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F1CDD" w:rsidRPr="0030707B" w:rsidRDefault="00FF1CDD" w:rsidP="00AB6DB2">
            <w:pPr>
              <w:ind w:left="84"/>
              <w:jc w:val="center"/>
              <w:rPr>
                <w:rFonts w:ascii="Times New Roman" w:hAnsi="Times New Roman"/>
                <w:b/>
                <w:bCs/>
                <w:sz w:val="30"/>
                <w:szCs w:val="30"/>
              </w:rPr>
            </w:pPr>
            <w:r w:rsidRPr="0030707B">
              <w:rPr>
                <w:rFonts w:ascii="Times New Roman" w:hAnsi="Times New Roman"/>
                <w:b/>
                <w:bCs/>
                <w:sz w:val="30"/>
                <w:szCs w:val="30"/>
                <w:rtl/>
              </w:rPr>
              <w:t>استخدام عقود الخيارات في التحوط</w:t>
            </w:r>
            <w:r w:rsidRPr="0030707B">
              <w:rPr>
                <w:rFonts w:ascii="Times New Roman" w:hAnsi="Times New Roman"/>
                <w:b/>
                <w:bCs/>
                <w:sz w:val="30"/>
                <w:szCs w:val="30"/>
              </w:rPr>
              <w:t>.</w:t>
            </w:r>
            <w:r w:rsidRPr="0030707B">
              <w:rPr>
                <w:rFonts w:ascii="Times New Roman" w:hAnsi="Times New Roman"/>
                <w:b/>
                <w:bCs/>
                <w:sz w:val="30"/>
                <w:szCs w:val="30"/>
                <w:rtl/>
              </w:rPr>
              <w:t xml:space="preserve"> دراسة تطبيقية </w:t>
            </w:r>
            <w:proofErr w:type="gramStart"/>
            <w:r w:rsidRPr="0030707B">
              <w:rPr>
                <w:rFonts w:ascii="Times New Roman" w:hAnsi="Times New Roman"/>
                <w:b/>
                <w:bCs/>
                <w:sz w:val="30"/>
                <w:szCs w:val="30"/>
                <w:rtl/>
              </w:rPr>
              <w:t>في</w:t>
            </w:r>
            <w:proofErr w:type="gramEnd"/>
            <w:r w:rsidRPr="0030707B">
              <w:rPr>
                <w:rFonts w:ascii="Times New Roman" w:hAnsi="Times New Roman"/>
                <w:b/>
                <w:bCs/>
                <w:sz w:val="30"/>
                <w:szCs w:val="30"/>
                <w:rtl/>
              </w:rPr>
              <w:t xml:space="preserve"> سوق بغداد للأوراق المالية</w:t>
            </w:r>
          </w:p>
          <w:p w:rsidR="00FF1CDD" w:rsidRPr="0030707B" w:rsidRDefault="00FF1CDD" w:rsidP="00AB6DB2">
            <w:pPr>
              <w:ind w:left="84"/>
              <w:jc w:val="center"/>
              <w:rPr>
                <w:rFonts w:ascii="Times New Roman" w:hAnsi="Times New Roman"/>
                <w:b/>
                <w:bCs/>
                <w:sz w:val="32"/>
                <w:szCs w:val="32"/>
                <w:rtl/>
              </w:rPr>
            </w:pPr>
          </w:p>
          <w:p w:rsidR="00FF1CDD" w:rsidRPr="0030707B" w:rsidRDefault="00FF1CDD" w:rsidP="00AB6DB2">
            <w:pPr>
              <w:ind w:left="84"/>
              <w:jc w:val="center"/>
              <w:rPr>
                <w:rFonts w:ascii="Times New Roman" w:hAnsi="Times New Roman"/>
                <w:sz w:val="32"/>
                <w:szCs w:val="32"/>
                <w:rtl/>
              </w:rPr>
            </w:pPr>
          </w:p>
          <w:p w:rsidR="00FF1CDD" w:rsidRPr="0030707B" w:rsidRDefault="00FF1CDD" w:rsidP="00AB6DB2">
            <w:pPr>
              <w:ind w:left="84"/>
              <w:jc w:val="center"/>
              <w:rPr>
                <w:rFonts w:ascii="Times New Roman" w:hAnsi="Times New Roman"/>
                <w:b/>
                <w:bCs/>
                <w:sz w:val="32"/>
                <w:szCs w:val="32"/>
                <w:rtl/>
              </w:rPr>
            </w:pPr>
          </w:p>
          <w:p w:rsidR="00FF1CDD" w:rsidRPr="00074D6C" w:rsidRDefault="00FF1CDD" w:rsidP="00AB6DB2">
            <w:pPr>
              <w:ind w:left="84"/>
              <w:rPr>
                <w:rFonts w:ascii="Times New Roman" w:hAnsi="Times New Roman"/>
                <w:b/>
                <w:bCs/>
                <w:sz w:val="32"/>
                <w:szCs w:val="32"/>
                <w:rtl/>
                <w:lang w:bidi="ar-AE"/>
              </w:rPr>
            </w:pPr>
          </w:p>
          <w:p w:rsidR="00FF1CDD" w:rsidRPr="00074D6C" w:rsidRDefault="00FF1CDD" w:rsidP="00AB6DB2">
            <w:pPr>
              <w:ind w:left="84"/>
              <w:rPr>
                <w:rFonts w:ascii="Times New Roman" w:hAnsi="Times New Roman"/>
                <w:b/>
                <w:bCs/>
                <w:sz w:val="32"/>
                <w:szCs w:val="32"/>
                <w:rtl/>
                <w:lang w:bidi="ar-AE"/>
              </w:rPr>
            </w:pPr>
          </w:p>
          <w:p w:rsidR="00FF1CDD" w:rsidRDefault="00FF1CDD"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F1CDD" w:rsidRDefault="00FF1CDD" w:rsidP="00AB6DB2">
            <w:pPr>
              <w:ind w:left="84"/>
              <w:jc w:val="right"/>
              <w:rPr>
                <w:rFonts w:ascii="Tahoma" w:hAnsi="Tahoma" w:cs="Tahoma"/>
                <w:lang w:val="en-US" w:bidi="ar-IQ"/>
              </w:rPr>
            </w:pPr>
            <w:r>
              <w:rPr>
                <w:rFonts w:ascii="Tahoma" w:hAnsi="Tahoma" w:cs="Tahoma"/>
                <w:lang w:val="en-US" w:bidi="ar-IQ"/>
              </w:rPr>
              <w:t xml:space="preserve">Thesis  Title </w:t>
            </w:r>
          </w:p>
        </w:tc>
      </w:tr>
      <w:tr w:rsidR="00FF1CDD" w:rsidTr="00AB6DB2">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F1CDD" w:rsidRPr="0030707B" w:rsidRDefault="00FF1CDD" w:rsidP="00AB6DB2">
            <w:pPr>
              <w:ind w:left="84"/>
              <w:jc w:val="center"/>
              <w:rPr>
                <w:rFonts w:ascii="Times New Roman" w:hAnsi="Times New Roman"/>
                <w:b/>
                <w:bCs/>
                <w:sz w:val="32"/>
                <w:szCs w:val="32"/>
              </w:rPr>
            </w:pPr>
            <w:r w:rsidRPr="0030707B">
              <w:rPr>
                <w:rFonts w:ascii="Times New Roman" w:hAnsi="Times New Roman"/>
                <w:b/>
                <w:bCs/>
                <w:sz w:val="32"/>
                <w:szCs w:val="32"/>
              </w:rPr>
              <w:t>1427</w:t>
            </w:r>
            <w:r w:rsidRPr="0030707B">
              <w:rPr>
                <w:rFonts w:ascii="Times New Roman" w:hAnsi="Times New Roman"/>
                <w:b/>
                <w:bCs/>
                <w:sz w:val="32"/>
                <w:szCs w:val="32"/>
                <w:rtl/>
              </w:rPr>
              <w:t xml:space="preserve">هـ                 </w:t>
            </w:r>
            <w:r>
              <w:rPr>
                <w:rFonts w:ascii="Times New Roman" w:hAnsi="Times New Roman" w:hint="cs"/>
                <w:b/>
                <w:bCs/>
                <w:sz w:val="32"/>
                <w:szCs w:val="32"/>
                <w:rtl/>
              </w:rPr>
              <w:t xml:space="preserve">    </w:t>
            </w:r>
            <w:r w:rsidRPr="0030707B">
              <w:rPr>
                <w:rFonts w:ascii="Times New Roman" w:hAnsi="Times New Roman"/>
                <w:b/>
                <w:bCs/>
                <w:sz w:val="32"/>
                <w:szCs w:val="32"/>
                <w:rtl/>
              </w:rPr>
              <w:t xml:space="preserve">   كربلاء   </w:t>
            </w:r>
            <w:r>
              <w:rPr>
                <w:rFonts w:ascii="Times New Roman" w:hAnsi="Times New Roman" w:hint="cs"/>
                <w:b/>
                <w:bCs/>
                <w:sz w:val="32"/>
                <w:szCs w:val="32"/>
                <w:rtl/>
              </w:rPr>
              <w:t xml:space="preserve">    </w:t>
            </w:r>
            <w:r w:rsidRPr="0030707B">
              <w:rPr>
                <w:rFonts w:ascii="Times New Roman" w:hAnsi="Times New Roman"/>
                <w:b/>
                <w:bCs/>
                <w:sz w:val="32"/>
                <w:szCs w:val="32"/>
                <w:rtl/>
              </w:rPr>
              <w:t xml:space="preserve">    </w:t>
            </w:r>
            <w:r>
              <w:rPr>
                <w:rFonts w:ascii="Times New Roman" w:hAnsi="Times New Roman" w:hint="cs"/>
                <w:b/>
                <w:bCs/>
                <w:sz w:val="32"/>
                <w:szCs w:val="32"/>
                <w:rtl/>
              </w:rPr>
              <w:t xml:space="preserve">     </w:t>
            </w:r>
            <w:r w:rsidRPr="0030707B">
              <w:rPr>
                <w:rFonts w:ascii="Times New Roman" w:hAnsi="Times New Roman"/>
                <w:b/>
                <w:bCs/>
                <w:sz w:val="32"/>
                <w:szCs w:val="32"/>
                <w:rtl/>
              </w:rPr>
              <w:t xml:space="preserve">      </w:t>
            </w:r>
            <w:r w:rsidRPr="0030707B">
              <w:rPr>
                <w:rFonts w:ascii="Times New Roman" w:hAnsi="Times New Roman"/>
                <w:b/>
                <w:bCs/>
                <w:sz w:val="32"/>
                <w:szCs w:val="32"/>
              </w:rPr>
              <w:t>2006</w:t>
            </w:r>
            <w:r w:rsidRPr="0030707B">
              <w:rPr>
                <w:rFonts w:ascii="Times New Roman" w:hAnsi="Times New Roman"/>
                <w:b/>
                <w:bCs/>
                <w:sz w:val="32"/>
                <w:szCs w:val="32"/>
                <w:rtl/>
              </w:rPr>
              <w:t xml:space="preserve"> م</w:t>
            </w:r>
          </w:p>
          <w:p w:rsidR="00FF1CDD" w:rsidRDefault="00FF1CDD" w:rsidP="00AB6DB2">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F1CDD" w:rsidRDefault="00FF1CDD" w:rsidP="00AB6DB2">
            <w:pPr>
              <w:ind w:left="84"/>
              <w:jc w:val="right"/>
              <w:rPr>
                <w:rFonts w:ascii="Tahoma" w:hAnsi="Tahoma" w:cs="Tahoma"/>
                <w:lang w:val="en-US" w:bidi="ar-IQ"/>
              </w:rPr>
            </w:pPr>
            <w:r>
              <w:rPr>
                <w:rFonts w:ascii="Tahoma" w:hAnsi="Tahoma" w:cs="Tahoma"/>
                <w:lang w:val="en-US" w:bidi="ar-IQ"/>
              </w:rPr>
              <w:t>Year</w:t>
            </w:r>
          </w:p>
        </w:tc>
      </w:tr>
      <w:tr w:rsidR="00FF1CDD" w:rsidRPr="00C06548" w:rsidTr="00AB6DB2">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F1CDD" w:rsidRPr="0030707B" w:rsidRDefault="00FF1CDD" w:rsidP="00AB6DB2">
            <w:pPr>
              <w:ind w:left="84"/>
              <w:jc w:val="lowKashida"/>
              <w:rPr>
                <w:rFonts w:ascii="Times New Roman" w:hAnsi="Times New Roman"/>
                <w:b/>
                <w:bCs/>
                <w:rtl/>
              </w:rPr>
            </w:pPr>
            <w:r w:rsidRPr="0030707B">
              <w:rPr>
                <w:rFonts w:ascii="Times New Roman" w:hAnsi="Times New Roman"/>
                <w:b/>
                <w:bCs/>
                <w:rtl/>
              </w:rPr>
              <w:t xml:space="preserve">   يعد موضوع الخيارات من الموضوعات التي نالت أهمية كبيرة في الدول المتقدمة لما لها من تأثير واضح في تحوط الاستثمارات المختلفة فضلا عن استخدامها ورقة استثمارية عند المضاربة أيضا من لدن المتعاملين سواء كانوا أفراد أو مؤسسات مالية كالمصارف, إذ يسعى المتعامل بعقود خيارات البيع إلى مواجهة احتمالات انخفاض عوائد استثماراتهم عندما يتوقعون انخفاض أسعار هذه الاستثمارات من خلال شراء هذا النوع من الخيارات، إلا إن كاتب خيار البيع له رأي آخر إذ يتوقع ارتفاع أسعار هذه الاستثمارات أو بقاءها ثابتة. وقد جاء هذا البحث نتيجة أهمية موضوع الخيارات وافتقار السوق العراقي لها ومحاولة لبيان كيفية استخدام عقود الخيارات في التحوط لأربع شركات مدرجة في سوق بغداد للأوراق المالية وهذه الشركات:</w:t>
            </w:r>
          </w:p>
          <w:p w:rsidR="00FF1CDD" w:rsidRPr="0030707B" w:rsidRDefault="00FF1CDD" w:rsidP="00FF1CDD">
            <w:pPr>
              <w:numPr>
                <w:ilvl w:val="0"/>
                <w:numId w:val="1"/>
              </w:numPr>
              <w:ind w:left="84" w:firstLine="0"/>
              <w:jc w:val="lowKashida"/>
              <w:rPr>
                <w:rFonts w:ascii="Times New Roman" w:hAnsi="Times New Roman"/>
                <w:b/>
                <w:bCs/>
                <w:rtl/>
              </w:rPr>
            </w:pPr>
            <w:r w:rsidRPr="0030707B">
              <w:rPr>
                <w:rFonts w:ascii="Times New Roman" w:hAnsi="Times New Roman"/>
                <w:b/>
                <w:bCs/>
                <w:rtl/>
              </w:rPr>
              <w:t xml:space="preserve">شركة الهلال </w:t>
            </w:r>
            <w:proofErr w:type="gramStart"/>
            <w:r w:rsidRPr="0030707B">
              <w:rPr>
                <w:rFonts w:ascii="Times New Roman" w:hAnsi="Times New Roman"/>
                <w:b/>
                <w:bCs/>
                <w:rtl/>
              </w:rPr>
              <w:t>الصناعية</w:t>
            </w:r>
            <w:proofErr w:type="gramEnd"/>
            <w:r w:rsidRPr="0030707B">
              <w:rPr>
                <w:rFonts w:ascii="Times New Roman" w:hAnsi="Times New Roman"/>
                <w:b/>
                <w:bCs/>
                <w:rtl/>
              </w:rPr>
              <w:t>.</w:t>
            </w:r>
          </w:p>
          <w:p w:rsidR="00FF1CDD" w:rsidRPr="0030707B" w:rsidRDefault="00FF1CDD" w:rsidP="00FF1CDD">
            <w:pPr>
              <w:numPr>
                <w:ilvl w:val="0"/>
                <w:numId w:val="1"/>
              </w:numPr>
              <w:ind w:left="84" w:firstLine="0"/>
              <w:jc w:val="lowKashida"/>
              <w:rPr>
                <w:rFonts w:ascii="Times New Roman" w:hAnsi="Times New Roman"/>
                <w:b/>
                <w:bCs/>
              </w:rPr>
            </w:pPr>
            <w:r w:rsidRPr="0030707B">
              <w:rPr>
                <w:rFonts w:ascii="Times New Roman" w:hAnsi="Times New Roman"/>
                <w:b/>
                <w:bCs/>
                <w:rtl/>
              </w:rPr>
              <w:t xml:space="preserve">شركة الكندي لإنتاج اللقاحات </w:t>
            </w:r>
            <w:proofErr w:type="gramStart"/>
            <w:r w:rsidRPr="0030707B">
              <w:rPr>
                <w:rFonts w:ascii="Times New Roman" w:hAnsi="Times New Roman"/>
                <w:b/>
                <w:bCs/>
                <w:rtl/>
              </w:rPr>
              <w:t>والأدوية</w:t>
            </w:r>
            <w:proofErr w:type="gramEnd"/>
            <w:r w:rsidRPr="0030707B">
              <w:rPr>
                <w:rFonts w:ascii="Times New Roman" w:hAnsi="Times New Roman"/>
                <w:b/>
                <w:bCs/>
                <w:rtl/>
              </w:rPr>
              <w:t xml:space="preserve"> البيطرية.</w:t>
            </w:r>
          </w:p>
          <w:p w:rsidR="00FF1CDD" w:rsidRPr="0030707B" w:rsidRDefault="00FF1CDD" w:rsidP="00FF1CDD">
            <w:pPr>
              <w:numPr>
                <w:ilvl w:val="0"/>
                <w:numId w:val="1"/>
              </w:numPr>
              <w:ind w:left="84" w:firstLine="0"/>
              <w:jc w:val="lowKashida"/>
              <w:rPr>
                <w:rFonts w:ascii="Times New Roman" w:hAnsi="Times New Roman"/>
                <w:b/>
                <w:bCs/>
              </w:rPr>
            </w:pPr>
            <w:r w:rsidRPr="0030707B">
              <w:rPr>
                <w:rFonts w:ascii="Times New Roman" w:hAnsi="Times New Roman"/>
                <w:b/>
                <w:bCs/>
                <w:rtl/>
              </w:rPr>
              <w:t>شركة الصناعات الخفيفة.</w:t>
            </w:r>
          </w:p>
          <w:p w:rsidR="00FF1CDD" w:rsidRPr="0030707B" w:rsidRDefault="00FF1CDD" w:rsidP="00FF1CDD">
            <w:pPr>
              <w:numPr>
                <w:ilvl w:val="0"/>
                <w:numId w:val="1"/>
              </w:numPr>
              <w:ind w:left="84" w:firstLine="0"/>
              <w:jc w:val="lowKashida"/>
              <w:rPr>
                <w:rFonts w:ascii="Times New Roman" w:hAnsi="Times New Roman"/>
                <w:b/>
                <w:bCs/>
                <w:rtl/>
              </w:rPr>
            </w:pPr>
            <w:r w:rsidRPr="0030707B">
              <w:rPr>
                <w:rFonts w:ascii="Times New Roman" w:hAnsi="Times New Roman"/>
                <w:b/>
                <w:bCs/>
                <w:rtl/>
              </w:rPr>
              <w:t>شركة الصنائع الكيمياوية العصرية.</w:t>
            </w:r>
          </w:p>
          <w:p w:rsidR="00FF1CDD" w:rsidRPr="0030707B" w:rsidRDefault="00FF1CDD" w:rsidP="00AB6DB2">
            <w:pPr>
              <w:ind w:left="84"/>
              <w:jc w:val="lowKashida"/>
              <w:rPr>
                <w:rFonts w:ascii="Times New Roman" w:hAnsi="Times New Roman"/>
                <w:b/>
                <w:bCs/>
              </w:rPr>
            </w:pPr>
            <w:r w:rsidRPr="0030707B">
              <w:rPr>
                <w:rFonts w:ascii="Times New Roman" w:hAnsi="Times New Roman"/>
                <w:b/>
                <w:bCs/>
                <w:rtl/>
              </w:rPr>
              <w:t xml:space="preserve">مركزا في هذا البحث على مشكلة متمثلة في ((ازدياد المخاطرة السوقية التي يتعرض لها المستثمرون في أسهم الشركات العراقية نتيجة المتغيرات السياسية والاقتصادية التي تعكس آثارها بشكل سلبي في الاستثمارات وعدم إفادتهم من مزايا التحوط لتقليل هذه المخاطر)) ساعيا إلى تحقيق هدف أساسي هو ((تقليل العقبات أمام الأطراف التي ترغب في تنظيم عقود الخيارات وتشجيعهم على تنظيمها وبيان كيفية عملها ومدى قدرتها على تحقيق التحوط الأمثل للمستثمرين)) منطلقا من فرضيات مفادها ((لا يؤدي استخدام عقد خيار البيع أي دور في تحوط المحفظة ضد المخاطرة النظامية </w:t>
            </w:r>
            <w:proofErr w:type="spellStart"/>
            <w:r w:rsidRPr="0030707B">
              <w:rPr>
                <w:rFonts w:ascii="Times New Roman" w:hAnsi="Times New Roman"/>
                <w:b/>
                <w:bCs/>
                <w:rtl/>
              </w:rPr>
              <w:t>واللانظامية</w:t>
            </w:r>
            <w:proofErr w:type="spellEnd"/>
            <w:r w:rsidRPr="0030707B">
              <w:rPr>
                <w:rFonts w:ascii="Times New Roman" w:hAnsi="Times New Roman"/>
                <w:b/>
                <w:bCs/>
                <w:rtl/>
              </w:rPr>
              <w:t xml:space="preserve"> ولا يمكن زيادة عائد المحفظة من خلال استخدام عقود الخيارات)). واعتمد الباحث على التقارير السنوية والنشرات الشهرية لسوق بغداد للأوراق المالية والتقرير السنوي لمصرف الرافدين في جمع البيانات والمعلومات وللمدة من (</w:t>
            </w:r>
            <w:r w:rsidRPr="0030707B">
              <w:rPr>
                <w:rFonts w:ascii="Times New Roman" w:hAnsi="Times New Roman"/>
                <w:b/>
                <w:bCs/>
              </w:rPr>
              <w:t>2002-1999</w:t>
            </w:r>
            <w:r w:rsidRPr="0030707B">
              <w:rPr>
                <w:rFonts w:ascii="Times New Roman" w:hAnsi="Times New Roman"/>
                <w:b/>
                <w:bCs/>
                <w:rtl/>
              </w:rPr>
              <w:t>) واستخدم نموذج (</w:t>
            </w:r>
            <w:r w:rsidRPr="0030707B">
              <w:rPr>
                <w:rFonts w:ascii="Times New Roman" w:hAnsi="Times New Roman"/>
                <w:b/>
                <w:bCs/>
              </w:rPr>
              <w:t>(Black and Scholes</w:t>
            </w:r>
            <w:r w:rsidRPr="0030707B">
              <w:rPr>
                <w:rFonts w:ascii="Times New Roman" w:hAnsi="Times New Roman"/>
                <w:b/>
                <w:bCs/>
                <w:rtl/>
              </w:rPr>
              <w:t xml:space="preserve"> في تسعير </w:t>
            </w:r>
            <w:proofErr w:type="spellStart"/>
            <w:r w:rsidRPr="0030707B">
              <w:rPr>
                <w:rFonts w:ascii="Times New Roman" w:hAnsi="Times New Roman"/>
                <w:b/>
                <w:bCs/>
                <w:rtl/>
              </w:rPr>
              <w:t>الخيارات.</w:t>
            </w:r>
            <w:proofErr w:type="gramStart"/>
            <w:r w:rsidRPr="0030707B">
              <w:rPr>
                <w:rFonts w:ascii="Times New Roman" w:hAnsi="Times New Roman"/>
                <w:b/>
                <w:bCs/>
                <w:rtl/>
              </w:rPr>
              <w:t>وتوصل</w:t>
            </w:r>
            <w:proofErr w:type="spellEnd"/>
            <w:proofErr w:type="gramEnd"/>
            <w:r w:rsidRPr="0030707B">
              <w:rPr>
                <w:rFonts w:ascii="Times New Roman" w:hAnsi="Times New Roman"/>
                <w:b/>
                <w:bCs/>
                <w:rtl/>
              </w:rPr>
              <w:t xml:space="preserve"> الباحث إلى عدد من الاستنتاجات كان أهمها مساهمة عقود الخيارات في تخفيض المخاطرة التي يتعرض لها أي استثمار من خلال شراء عقود خيارات البيع </w:t>
            </w:r>
            <w:r w:rsidRPr="0030707B">
              <w:rPr>
                <w:rFonts w:ascii="Times New Roman" w:hAnsi="Times New Roman"/>
                <w:b/>
                <w:bCs/>
              </w:rPr>
              <w:t>(Put)</w:t>
            </w:r>
            <w:r w:rsidRPr="0030707B">
              <w:rPr>
                <w:rFonts w:ascii="Times New Roman" w:hAnsi="Times New Roman"/>
                <w:b/>
                <w:bCs/>
                <w:rtl/>
              </w:rPr>
              <w:t xml:space="preserve"> عليها، وكذلك إمكانية زيادة عائد المحفظة من خلال استخدام عقد خيار البيع لأسهم الشركات عينة البحث. ومن أهم التوصيات التي أوصى بها الباحث: هي ((ضرورة إنشاء سوق للخيارات وتشجيع المستثمرين على التعامل فيها لتحويط استثماراتهم)).</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F1CDD" w:rsidRDefault="00FF1CDD" w:rsidP="00AB6DB2">
            <w:pPr>
              <w:spacing w:line="360" w:lineRule="auto"/>
              <w:ind w:left="84"/>
              <w:rPr>
                <w:rFonts w:ascii="Tahoma" w:hAnsi="Tahoma" w:cs="Tahoma"/>
                <w:sz w:val="14"/>
                <w:szCs w:val="14"/>
                <w:rtl/>
                <w:lang w:val="en-US" w:bidi="ar-IQ"/>
              </w:rPr>
            </w:pPr>
          </w:p>
          <w:p w:rsidR="00FF1CDD" w:rsidRDefault="00FF1CDD" w:rsidP="00AB6DB2">
            <w:pPr>
              <w:spacing w:line="360" w:lineRule="auto"/>
              <w:ind w:left="84"/>
              <w:jc w:val="right"/>
              <w:rPr>
                <w:rFonts w:ascii="Tahoma" w:hAnsi="Tahoma" w:cs="Tahoma"/>
                <w:sz w:val="14"/>
                <w:szCs w:val="14"/>
                <w:rtl/>
                <w:lang w:val="en-US" w:bidi="ar-IQ"/>
              </w:rPr>
            </w:pPr>
          </w:p>
          <w:p w:rsidR="00FF1CDD" w:rsidRPr="00C06548" w:rsidRDefault="00FF1CDD"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FF1CDD" w:rsidRDefault="00913246" w:rsidP="00FF1CDD">
      <w:pPr>
        <w:rPr>
          <w:rFonts w:hint="cs"/>
          <w:lang w:bidi="ar-IQ"/>
        </w:rPr>
      </w:pPr>
    </w:p>
    <w:sectPr w:rsidR="00913246" w:rsidRPr="00FF1CD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CS Taybah E_U 3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66961"/>
    <w:multiLevelType w:val="hybridMultilevel"/>
    <w:tmpl w:val="F196C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15125B"/>
    <w:rsid w:val="001A40B4"/>
    <w:rsid w:val="001A539D"/>
    <w:rsid w:val="00281DA7"/>
    <w:rsid w:val="00440FE5"/>
    <w:rsid w:val="00452FFF"/>
    <w:rsid w:val="00752C16"/>
    <w:rsid w:val="00913246"/>
    <w:rsid w:val="009F515C"/>
    <w:rsid w:val="00B027C1"/>
    <w:rsid w:val="00B67797"/>
    <w:rsid w:val="00B85C7B"/>
    <w:rsid w:val="00CC183B"/>
    <w:rsid w:val="00CC4EC0"/>
    <w:rsid w:val="00E2144D"/>
    <w:rsid w:val="00E26FCD"/>
    <w:rsid w:val="00E67184"/>
    <w:rsid w:val="00F3175E"/>
    <w:rsid w:val="00F46DF8"/>
    <w:rsid w:val="00FF1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2015-05-28T08:25:00Z</dcterms:created>
  <dcterms:modified xsi:type="dcterms:W3CDTF">2015-05-28T08:25:00Z</dcterms:modified>
</cp:coreProperties>
</file>