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8658E"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8658E" w:rsidRDefault="0088658E"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College  Name</w:t>
            </w:r>
          </w:p>
        </w:tc>
      </w:tr>
      <w:tr w:rsidR="0088658E"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8658E" w:rsidRDefault="0088658E"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Department</w:t>
            </w:r>
          </w:p>
        </w:tc>
      </w:tr>
      <w:tr w:rsidR="0088658E"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8658E" w:rsidRPr="00084AE9" w:rsidRDefault="0088658E" w:rsidP="00A76FDE">
            <w:pPr>
              <w:ind w:left="84"/>
              <w:rPr>
                <w:rFonts w:ascii="Times New Roman" w:hAnsi="Times New Roman"/>
                <w:b/>
                <w:bCs/>
                <w:sz w:val="32"/>
                <w:szCs w:val="32"/>
                <w:lang w:val="en-US"/>
              </w:rPr>
            </w:pPr>
            <w:bookmarkStart w:id="0" w:name="_GoBack"/>
            <w:r w:rsidRPr="00084AE9">
              <w:rPr>
                <w:rFonts w:ascii="Times New Roman" w:hAnsi="Times New Roman"/>
                <w:b/>
                <w:bCs/>
                <w:sz w:val="32"/>
                <w:szCs w:val="32"/>
                <w:rtl/>
                <w:lang w:bidi="ar-IQ"/>
              </w:rPr>
              <w:t xml:space="preserve">حيدر عبد الله عبد الحسين </w:t>
            </w:r>
            <w:bookmarkEnd w:id="0"/>
            <w:proofErr w:type="spellStart"/>
            <w:r w:rsidRPr="00084AE9">
              <w:rPr>
                <w:rFonts w:ascii="Times New Roman" w:hAnsi="Times New Roman"/>
                <w:b/>
                <w:bCs/>
                <w:sz w:val="32"/>
                <w:szCs w:val="32"/>
                <w:rtl/>
                <w:lang w:bidi="ar-IQ"/>
              </w:rPr>
              <w:t>السويفي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Full Name as written   in Passport</w:t>
            </w:r>
          </w:p>
        </w:tc>
      </w:tr>
      <w:tr w:rsidR="0088658E"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8658E" w:rsidRDefault="0088658E"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e-mail</w:t>
            </w:r>
          </w:p>
        </w:tc>
      </w:tr>
      <w:tr w:rsidR="0088658E"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8658E" w:rsidRDefault="0088658E"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g9qmp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8658E" w:rsidRDefault="0088658E"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njsE9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8658E" w:rsidRDefault="0088658E"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ZJrH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8658E" w:rsidRDefault="0088658E"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IyBOOX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 xml:space="preserve">Career </w:t>
            </w:r>
          </w:p>
        </w:tc>
      </w:tr>
      <w:tr w:rsidR="0088658E"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8658E" w:rsidRDefault="0088658E"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1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ER5i7X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8658E" w:rsidRDefault="0088658E"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ylnmejgIAAOM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8658E" w:rsidRDefault="0088658E" w:rsidP="00A76FDE">
            <w:pPr>
              <w:ind w:left="84"/>
              <w:jc w:val="right"/>
              <w:rPr>
                <w:rFonts w:ascii="Tahoma" w:hAnsi="Tahoma" w:cs="Tahoma"/>
                <w:lang w:val="en-US" w:bidi="ar-IQ"/>
              </w:rPr>
            </w:pPr>
          </w:p>
        </w:tc>
      </w:tr>
      <w:tr w:rsidR="0088658E" w:rsidTr="00A76FD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8658E" w:rsidRPr="00084AE9" w:rsidRDefault="0088658E" w:rsidP="00A76FDE">
            <w:pPr>
              <w:ind w:left="84"/>
              <w:rPr>
                <w:rFonts w:ascii="Times New Roman" w:hAnsi="Times New Roman"/>
                <w:b/>
                <w:bCs/>
                <w:sz w:val="32"/>
                <w:szCs w:val="32"/>
                <w:rtl/>
                <w:lang w:bidi="ar-IQ"/>
              </w:rPr>
            </w:pPr>
            <w:r w:rsidRPr="00084AE9">
              <w:rPr>
                <w:rFonts w:ascii="Times New Roman" w:hAnsi="Times New Roman"/>
                <w:b/>
                <w:bCs/>
                <w:sz w:val="32"/>
                <w:szCs w:val="32"/>
                <w:rtl/>
                <w:lang w:bidi="ar-IQ"/>
              </w:rPr>
              <w:t xml:space="preserve">أثر الاحتياطي القانوني و معايير لجنة بازل على الأداء المصرفي دراسة مقارنة بين مصارف القطاع الخاص العراقية والقطرية للمدة من (2006-2010) </w:t>
            </w:r>
          </w:p>
          <w:p w:rsidR="0088658E" w:rsidRPr="00074D6C" w:rsidRDefault="0088658E" w:rsidP="00A76FDE">
            <w:pPr>
              <w:ind w:left="84"/>
              <w:rPr>
                <w:rFonts w:ascii="Times New Roman" w:hAnsi="Times New Roman"/>
                <w:b/>
                <w:bCs/>
                <w:sz w:val="32"/>
                <w:szCs w:val="32"/>
                <w:rtl/>
                <w:lang w:bidi="ar-AE"/>
              </w:rPr>
            </w:pPr>
          </w:p>
          <w:p w:rsidR="0088658E" w:rsidRDefault="0088658E"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 xml:space="preserve">Thesis  Title </w:t>
            </w:r>
          </w:p>
        </w:tc>
      </w:tr>
      <w:tr w:rsidR="0088658E" w:rsidTr="00A76FD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8658E" w:rsidRPr="00A957A1" w:rsidRDefault="0088658E" w:rsidP="00A76FDE">
            <w:pPr>
              <w:ind w:left="84"/>
              <w:jc w:val="center"/>
              <w:rPr>
                <w:rFonts w:hint="cs"/>
                <w:b/>
                <w:bCs/>
                <w:sz w:val="32"/>
                <w:szCs w:val="32"/>
                <w:lang w:bidi="ar-IQ"/>
              </w:rPr>
            </w:pPr>
            <w:r w:rsidRPr="003520F5">
              <w:rPr>
                <w:b/>
                <w:bCs/>
                <w:sz w:val="32"/>
                <w:szCs w:val="32"/>
                <w:rtl/>
                <w:lang w:bidi="ar-IQ"/>
              </w:rPr>
              <w:t xml:space="preserve">1433ھ </w:t>
            </w:r>
            <w:r>
              <w:rPr>
                <w:rFonts w:hint="cs"/>
                <w:b/>
                <w:bCs/>
                <w:sz w:val="32"/>
                <w:szCs w:val="32"/>
                <w:rtl/>
                <w:lang w:bidi="ar-IQ"/>
              </w:rPr>
              <w:t xml:space="preserve">           </w:t>
            </w:r>
            <w:r w:rsidRPr="003520F5">
              <w:rPr>
                <w:b/>
                <w:bCs/>
                <w:sz w:val="32"/>
                <w:szCs w:val="32"/>
                <w:rtl/>
                <w:lang w:bidi="ar-IQ"/>
              </w:rPr>
              <w:t xml:space="preserve">    </w:t>
            </w:r>
            <w:r>
              <w:rPr>
                <w:rFonts w:hint="cs"/>
                <w:b/>
                <w:bCs/>
                <w:sz w:val="32"/>
                <w:szCs w:val="32"/>
                <w:rtl/>
                <w:lang w:bidi="ar-IQ"/>
              </w:rPr>
              <w:t xml:space="preserve">    </w:t>
            </w:r>
            <w:r w:rsidRPr="003520F5">
              <w:rPr>
                <w:b/>
                <w:bCs/>
                <w:sz w:val="32"/>
                <w:szCs w:val="32"/>
                <w:rtl/>
                <w:lang w:bidi="ar-IQ"/>
              </w:rPr>
              <w:t xml:space="preserve">        </w:t>
            </w:r>
            <w:r>
              <w:rPr>
                <w:rFonts w:hint="cs"/>
                <w:b/>
                <w:bCs/>
                <w:sz w:val="32"/>
                <w:szCs w:val="32"/>
                <w:rtl/>
                <w:lang w:bidi="ar-IQ"/>
              </w:rPr>
              <w:t xml:space="preserve">    </w:t>
            </w:r>
            <w:r w:rsidRPr="003520F5">
              <w:rPr>
                <w:b/>
                <w:bCs/>
                <w:sz w:val="32"/>
                <w:szCs w:val="32"/>
                <w:rtl/>
                <w:lang w:bidi="ar-IQ"/>
              </w:rPr>
              <w:t xml:space="preserve">    2012م</w:t>
            </w:r>
          </w:p>
          <w:p w:rsidR="0088658E" w:rsidRDefault="0088658E"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8658E" w:rsidRDefault="0088658E" w:rsidP="00A76FDE">
            <w:pPr>
              <w:ind w:left="84"/>
              <w:jc w:val="right"/>
              <w:rPr>
                <w:rFonts w:ascii="Tahoma" w:hAnsi="Tahoma" w:cs="Tahoma"/>
                <w:lang w:val="en-US" w:bidi="ar-IQ"/>
              </w:rPr>
            </w:pPr>
            <w:r>
              <w:rPr>
                <w:rFonts w:ascii="Tahoma" w:hAnsi="Tahoma" w:cs="Tahoma"/>
                <w:lang w:val="en-US" w:bidi="ar-IQ"/>
              </w:rPr>
              <w:t>Year</w:t>
            </w:r>
          </w:p>
        </w:tc>
      </w:tr>
      <w:tr w:rsidR="0088658E" w:rsidRPr="00C06548" w:rsidTr="00A76FDE">
        <w:trPr>
          <w:trHeight w:val="650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8658E" w:rsidRPr="00084AE9" w:rsidRDefault="0088658E" w:rsidP="00A76FDE">
            <w:pPr>
              <w:ind w:left="84"/>
              <w:jc w:val="lowKashida"/>
              <w:rPr>
                <w:rFonts w:ascii="Times New Roman" w:hAnsi="Times New Roman"/>
                <w:b/>
                <w:bCs/>
                <w:rtl/>
                <w:lang w:bidi="ar-IQ"/>
              </w:rPr>
            </w:pPr>
            <w:r w:rsidRPr="00084AE9">
              <w:rPr>
                <w:rFonts w:ascii="Times New Roman" w:hAnsi="Times New Roman"/>
                <w:b/>
                <w:bCs/>
                <w:rtl/>
                <w:lang w:bidi="ar-IQ"/>
              </w:rPr>
              <w:t xml:space="preserve">     سعت هذه الدراسة إلى </w:t>
            </w:r>
            <w:proofErr w:type="spellStart"/>
            <w:r w:rsidRPr="00084AE9">
              <w:rPr>
                <w:rFonts w:ascii="Times New Roman" w:hAnsi="Times New Roman"/>
                <w:b/>
                <w:bCs/>
                <w:rtl/>
                <w:lang w:bidi="ar-IQ"/>
              </w:rPr>
              <w:t>أبراز</w:t>
            </w:r>
            <w:proofErr w:type="spellEnd"/>
            <w:r w:rsidRPr="00084AE9">
              <w:rPr>
                <w:rFonts w:ascii="Times New Roman" w:hAnsi="Times New Roman"/>
                <w:b/>
                <w:bCs/>
                <w:rtl/>
                <w:lang w:bidi="ar-IQ"/>
              </w:rPr>
              <w:t xml:space="preserve"> أثر نسبة الاحتياطي القانوني في الأداء المصرفي من جهة ومعايير لجنة بازل من جهة أخرى و قد أجريت هذه الدراسة على عينتين من مصارف القطاع الخاص في كل من العراق وقطر  وللمدة من 2006 ولغاية 2010 وهدفت الدراسة إلى تسليط الضوء على جانب معرفي وأكاديمي حيوي ومهم في العمل المصرفي على المستوى المحلي والدولي إلا  هو الأداء المصرفي والدور الأساس لمقررات لجنة بازل في ذلك , وتحليل العلاقة بين نسبة الاحتياطي القانوني والأداء المصرفي  ومعايير لجنة بازل , </w:t>
            </w:r>
            <w:proofErr w:type="spellStart"/>
            <w:r w:rsidRPr="00084AE9">
              <w:rPr>
                <w:rFonts w:ascii="Times New Roman" w:hAnsi="Times New Roman"/>
                <w:b/>
                <w:bCs/>
                <w:rtl/>
                <w:lang w:bidi="ar-IQ"/>
              </w:rPr>
              <w:t>فضلآ</w:t>
            </w:r>
            <w:proofErr w:type="spellEnd"/>
            <w:r w:rsidRPr="00084AE9">
              <w:rPr>
                <w:rFonts w:ascii="Times New Roman" w:hAnsi="Times New Roman"/>
                <w:b/>
                <w:bCs/>
                <w:rtl/>
                <w:lang w:bidi="ar-IQ"/>
              </w:rPr>
              <w:t xml:space="preserve"> عن المقارنة بين البيئة المستقرة  القطرية والبيئة غير المستقرة العراقية , واعتمدت الدراسة على مجموعة من الميزانيات العامة والتقارير السنوية للمصارف والأسواق المالية العراقية والقطرية , واستندت الدراسة على فرضيتين رئيستين وهما:</w:t>
            </w:r>
          </w:p>
          <w:p w:rsidR="0088658E" w:rsidRPr="00084AE9" w:rsidRDefault="0088658E" w:rsidP="0088658E">
            <w:pPr>
              <w:numPr>
                <w:ilvl w:val="0"/>
                <w:numId w:val="1"/>
              </w:numPr>
              <w:ind w:left="84" w:firstLine="0"/>
              <w:jc w:val="lowKashida"/>
              <w:rPr>
                <w:rFonts w:ascii="Times New Roman" w:hAnsi="Times New Roman"/>
                <w:b/>
                <w:bCs/>
                <w:rtl/>
                <w:lang w:bidi="ar-IQ"/>
              </w:rPr>
            </w:pPr>
            <w:proofErr w:type="gramStart"/>
            <w:r w:rsidRPr="00084AE9">
              <w:rPr>
                <w:rFonts w:ascii="Times New Roman" w:hAnsi="Times New Roman"/>
                <w:b/>
                <w:bCs/>
                <w:rtl/>
                <w:lang w:bidi="ar-IQ"/>
              </w:rPr>
              <w:t>لا</w:t>
            </w:r>
            <w:proofErr w:type="gramEnd"/>
            <w:r w:rsidRPr="00084AE9">
              <w:rPr>
                <w:rFonts w:ascii="Times New Roman" w:hAnsi="Times New Roman"/>
                <w:b/>
                <w:bCs/>
                <w:rtl/>
                <w:lang w:bidi="ar-IQ"/>
              </w:rPr>
              <w:t xml:space="preserve"> يتأثر الأداء المصرفي بارتفاع وانخفاض نسبة الاحتياطي القانوني. </w:t>
            </w:r>
          </w:p>
          <w:p w:rsidR="0088658E" w:rsidRPr="00084AE9" w:rsidRDefault="0088658E" w:rsidP="0088658E">
            <w:pPr>
              <w:numPr>
                <w:ilvl w:val="0"/>
                <w:numId w:val="1"/>
              </w:numPr>
              <w:ind w:left="84" w:firstLine="0"/>
              <w:jc w:val="lowKashida"/>
              <w:rPr>
                <w:rFonts w:ascii="Times New Roman" w:hAnsi="Times New Roman"/>
                <w:b/>
                <w:bCs/>
                <w:lang w:bidi="ar-IQ"/>
              </w:rPr>
            </w:pPr>
            <w:proofErr w:type="gramStart"/>
            <w:r w:rsidRPr="00084AE9">
              <w:rPr>
                <w:rFonts w:ascii="Times New Roman" w:hAnsi="Times New Roman"/>
                <w:b/>
                <w:bCs/>
                <w:rtl/>
                <w:lang w:bidi="ar-IQ"/>
              </w:rPr>
              <w:t>لا</w:t>
            </w:r>
            <w:proofErr w:type="gramEnd"/>
            <w:r w:rsidRPr="00084AE9">
              <w:rPr>
                <w:rFonts w:ascii="Times New Roman" w:hAnsi="Times New Roman"/>
                <w:b/>
                <w:bCs/>
                <w:rtl/>
                <w:lang w:bidi="ar-IQ"/>
              </w:rPr>
              <w:t xml:space="preserve"> يتأثر الأداء المصرفي بارتفاع وانخفاض نسبة كفاية رأس المال.</w:t>
            </w:r>
          </w:p>
          <w:p w:rsidR="0088658E" w:rsidRPr="00084AE9" w:rsidRDefault="0088658E" w:rsidP="00A76FDE">
            <w:pPr>
              <w:ind w:left="84"/>
              <w:jc w:val="lowKashida"/>
              <w:rPr>
                <w:rFonts w:ascii="Times New Roman" w:hAnsi="Times New Roman"/>
                <w:b/>
                <w:bCs/>
                <w:rtl/>
                <w:lang w:bidi="ar-IQ"/>
              </w:rPr>
            </w:pPr>
            <w:r w:rsidRPr="00084AE9">
              <w:rPr>
                <w:rFonts w:ascii="Times New Roman" w:hAnsi="Times New Roman"/>
                <w:b/>
                <w:bCs/>
                <w:rtl/>
                <w:lang w:bidi="ar-IQ"/>
              </w:rPr>
              <w:t xml:space="preserve"> وتوصلت الدراسة إلى مجموعة من الاستنتاجات </w:t>
            </w:r>
            <w:proofErr w:type="gramStart"/>
            <w:r w:rsidRPr="00084AE9">
              <w:rPr>
                <w:rFonts w:ascii="Times New Roman" w:hAnsi="Times New Roman"/>
                <w:b/>
                <w:bCs/>
                <w:rtl/>
                <w:lang w:bidi="ar-IQ"/>
              </w:rPr>
              <w:t>ومن</w:t>
            </w:r>
            <w:proofErr w:type="gramEnd"/>
            <w:r w:rsidRPr="00084AE9">
              <w:rPr>
                <w:rFonts w:ascii="Times New Roman" w:hAnsi="Times New Roman"/>
                <w:b/>
                <w:bCs/>
                <w:rtl/>
                <w:lang w:bidi="ar-IQ"/>
              </w:rPr>
              <w:t xml:space="preserve"> أهمها:</w:t>
            </w:r>
          </w:p>
          <w:p w:rsidR="0088658E" w:rsidRPr="00084AE9" w:rsidRDefault="0088658E" w:rsidP="0088658E">
            <w:pPr>
              <w:numPr>
                <w:ilvl w:val="0"/>
                <w:numId w:val="2"/>
              </w:numPr>
              <w:ind w:left="84" w:firstLine="0"/>
              <w:jc w:val="lowKashida"/>
              <w:rPr>
                <w:rFonts w:ascii="Times New Roman" w:hAnsi="Times New Roman"/>
                <w:b/>
                <w:bCs/>
                <w:rtl/>
                <w:lang w:bidi="ar-IQ"/>
              </w:rPr>
            </w:pPr>
            <w:proofErr w:type="gramStart"/>
            <w:r w:rsidRPr="00084AE9">
              <w:rPr>
                <w:rFonts w:ascii="Times New Roman" w:hAnsi="Times New Roman"/>
                <w:b/>
                <w:bCs/>
                <w:rtl/>
                <w:lang w:bidi="ar-IQ"/>
              </w:rPr>
              <w:t>تعد</w:t>
            </w:r>
            <w:proofErr w:type="gramEnd"/>
            <w:r w:rsidRPr="00084AE9">
              <w:rPr>
                <w:rFonts w:ascii="Times New Roman" w:hAnsi="Times New Roman"/>
                <w:b/>
                <w:bCs/>
                <w:rtl/>
                <w:lang w:bidi="ar-IQ"/>
              </w:rPr>
              <w:t xml:space="preserve"> المصارف القطرية أفضل وأكفأ مقدرة من المصارف العراقية في إدارتها للمخاطر وتحقيق الربحية.</w:t>
            </w:r>
          </w:p>
          <w:p w:rsidR="0088658E" w:rsidRPr="00084AE9" w:rsidRDefault="0088658E" w:rsidP="0088658E">
            <w:pPr>
              <w:numPr>
                <w:ilvl w:val="0"/>
                <w:numId w:val="2"/>
              </w:numPr>
              <w:ind w:left="84" w:firstLine="0"/>
              <w:jc w:val="lowKashida"/>
              <w:rPr>
                <w:rFonts w:ascii="Times New Roman" w:hAnsi="Times New Roman"/>
                <w:b/>
                <w:bCs/>
                <w:lang w:bidi="ar-IQ"/>
              </w:rPr>
            </w:pPr>
            <w:proofErr w:type="gramStart"/>
            <w:r w:rsidRPr="00084AE9">
              <w:rPr>
                <w:rFonts w:ascii="Times New Roman" w:hAnsi="Times New Roman"/>
                <w:b/>
                <w:bCs/>
                <w:rtl/>
                <w:lang w:bidi="ar-IQ"/>
              </w:rPr>
              <w:t>إن</w:t>
            </w:r>
            <w:proofErr w:type="gramEnd"/>
            <w:r w:rsidRPr="00084AE9">
              <w:rPr>
                <w:rFonts w:ascii="Times New Roman" w:hAnsi="Times New Roman"/>
                <w:b/>
                <w:bCs/>
                <w:rtl/>
                <w:lang w:bidi="ar-IQ"/>
              </w:rPr>
              <w:t xml:space="preserve"> العمل المصرفي دائما محاط بمجموعة من المخاطر المصرفية التي تعكس أثارها بشكل سلبي في الأداء المصرفي إذا ما تم إدارتها بشكل صحيح.</w:t>
            </w:r>
          </w:p>
          <w:p w:rsidR="0088658E" w:rsidRPr="00084AE9" w:rsidRDefault="0088658E" w:rsidP="0088658E">
            <w:pPr>
              <w:numPr>
                <w:ilvl w:val="0"/>
                <w:numId w:val="2"/>
              </w:numPr>
              <w:ind w:left="84" w:firstLine="0"/>
              <w:jc w:val="lowKashida"/>
              <w:rPr>
                <w:rFonts w:ascii="Times New Roman" w:hAnsi="Times New Roman"/>
                <w:b/>
                <w:bCs/>
                <w:rtl/>
                <w:lang w:bidi="ar-IQ"/>
              </w:rPr>
            </w:pPr>
            <w:proofErr w:type="gramStart"/>
            <w:r w:rsidRPr="00084AE9">
              <w:rPr>
                <w:rFonts w:ascii="Times New Roman" w:hAnsi="Times New Roman"/>
                <w:b/>
                <w:bCs/>
                <w:rtl/>
                <w:lang w:bidi="ar-IQ"/>
              </w:rPr>
              <w:t>أظهرت</w:t>
            </w:r>
            <w:proofErr w:type="gramEnd"/>
            <w:r w:rsidRPr="00084AE9">
              <w:rPr>
                <w:rFonts w:ascii="Times New Roman" w:hAnsi="Times New Roman"/>
                <w:b/>
                <w:bCs/>
                <w:rtl/>
                <w:lang w:bidi="ar-IQ"/>
              </w:rPr>
              <w:t xml:space="preserve"> نتائج التحليل الإحصائي بشكل عام عدم وجود علاقة تأثير ذات معنوية إحصائية بين نسبة الاحتياطي القانوني ومؤشرات الأداء المصرفي.</w:t>
            </w:r>
          </w:p>
          <w:p w:rsidR="0088658E" w:rsidRPr="00084AE9" w:rsidRDefault="0088658E" w:rsidP="00A76FDE">
            <w:pPr>
              <w:ind w:left="84"/>
              <w:jc w:val="lowKashida"/>
              <w:rPr>
                <w:rFonts w:ascii="Times New Roman" w:hAnsi="Times New Roman"/>
                <w:b/>
                <w:bCs/>
                <w:rtl/>
                <w:lang w:bidi="ar-IQ"/>
              </w:rPr>
            </w:pPr>
            <w:r w:rsidRPr="00084AE9">
              <w:rPr>
                <w:rFonts w:ascii="Times New Roman" w:hAnsi="Times New Roman"/>
                <w:b/>
                <w:bCs/>
                <w:rtl/>
                <w:lang w:bidi="ar-IQ"/>
              </w:rPr>
              <w:t xml:space="preserve">وتضمنت الدراسة عدة توصيات </w:t>
            </w:r>
            <w:proofErr w:type="gramStart"/>
            <w:r w:rsidRPr="00084AE9">
              <w:rPr>
                <w:rFonts w:ascii="Times New Roman" w:hAnsi="Times New Roman"/>
                <w:b/>
                <w:bCs/>
                <w:rtl/>
                <w:lang w:bidi="ar-IQ"/>
              </w:rPr>
              <w:t>ومن</w:t>
            </w:r>
            <w:proofErr w:type="gramEnd"/>
            <w:r w:rsidRPr="00084AE9">
              <w:rPr>
                <w:rFonts w:ascii="Times New Roman" w:hAnsi="Times New Roman"/>
                <w:b/>
                <w:bCs/>
                <w:rtl/>
                <w:lang w:bidi="ar-IQ"/>
              </w:rPr>
              <w:t xml:space="preserve"> أهمها: </w:t>
            </w:r>
          </w:p>
          <w:p w:rsidR="0088658E" w:rsidRPr="00084AE9" w:rsidRDefault="0088658E" w:rsidP="0088658E">
            <w:pPr>
              <w:numPr>
                <w:ilvl w:val="0"/>
                <w:numId w:val="3"/>
              </w:numPr>
              <w:ind w:left="84" w:firstLine="0"/>
              <w:jc w:val="lowKashida"/>
              <w:rPr>
                <w:rFonts w:ascii="Times New Roman" w:hAnsi="Times New Roman"/>
                <w:b/>
                <w:bCs/>
                <w:rtl/>
                <w:lang w:bidi="ar-IQ"/>
              </w:rPr>
            </w:pPr>
            <w:r w:rsidRPr="00084AE9">
              <w:rPr>
                <w:rFonts w:ascii="Times New Roman" w:hAnsi="Times New Roman"/>
                <w:b/>
                <w:bCs/>
                <w:rtl/>
                <w:lang w:bidi="ar-IQ"/>
              </w:rPr>
              <w:t xml:space="preserve">إن يقوم البنك المركزي العراقي باستخدام أداة أخرى مع نسبة الاحتياطي القانوني لامتصاص السيولة من المصارف الخاصة ولتكون السياسة النقدية </w:t>
            </w:r>
            <w:proofErr w:type="gramStart"/>
            <w:r w:rsidRPr="00084AE9">
              <w:rPr>
                <w:rFonts w:ascii="Times New Roman" w:hAnsi="Times New Roman"/>
                <w:b/>
                <w:bCs/>
                <w:rtl/>
                <w:lang w:bidi="ar-IQ"/>
              </w:rPr>
              <w:t>أكثر</w:t>
            </w:r>
            <w:proofErr w:type="gramEnd"/>
            <w:r w:rsidRPr="00084AE9">
              <w:rPr>
                <w:rFonts w:ascii="Times New Roman" w:hAnsi="Times New Roman"/>
                <w:b/>
                <w:bCs/>
                <w:rtl/>
                <w:lang w:bidi="ar-IQ"/>
              </w:rPr>
              <w:t xml:space="preserve"> فاعلية.</w:t>
            </w:r>
          </w:p>
          <w:p w:rsidR="0088658E" w:rsidRPr="00084AE9" w:rsidRDefault="0088658E" w:rsidP="0088658E">
            <w:pPr>
              <w:numPr>
                <w:ilvl w:val="0"/>
                <w:numId w:val="3"/>
              </w:numPr>
              <w:ind w:left="84" w:firstLine="0"/>
              <w:jc w:val="lowKashida"/>
              <w:rPr>
                <w:rFonts w:ascii="Times New Roman" w:hAnsi="Times New Roman"/>
                <w:b/>
                <w:bCs/>
                <w:lang w:bidi="ar-IQ"/>
              </w:rPr>
            </w:pPr>
            <w:r w:rsidRPr="00084AE9">
              <w:rPr>
                <w:rFonts w:ascii="Times New Roman" w:hAnsi="Times New Roman"/>
                <w:b/>
                <w:bCs/>
                <w:rtl/>
                <w:lang w:bidi="ar-IQ"/>
              </w:rPr>
              <w:t>حث إدارة المصارف العراقية على إيجاد آلية للسيطرة على نسبة كفاية رأس المال وجعلها على وفق المقررات الصادرة عن لجنة بازل.</w:t>
            </w:r>
          </w:p>
          <w:p w:rsidR="0088658E" w:rsidRPr="00084AE9" w:rsidRDefault="0088658E" w:rsidP="0088658E">
            <w:pPr>
              <w:numPr>
                <w:ilvl w:val="0"/>
                <w:numId w:val="3"/>
              </w:numPr>
              <w:ind w:left="84" w:firstLine="0"/>
              <w:jc w:val="lowKashida"/>
              <w:rPr>
                <w:rFonts w:ascii="Times New Roman" w:hAnsi="Times New Roman"/>
                <w:b/>
                <w:bCs/>
                <w:lang w:bidi="ar-IQ"/>
              </w:rPr>
            </w:pPr>
            <w:r w:rsidRPr="00084AE9">
              <w:rPr>
                <w:rFonts w:ascii="Times New Roman" w:hAnsi="Times New Roman"/>
                <w:b/>
                <w:bCs/>
                <w:rtl/>
                <w:lang w:bidi="ar-IQ"/>
              </w:rPr>
              <w:t xml:space="preserve"> </w:t>
            </w:r>
            <w:proofErr w:type="gramStart"/>
            <w:r w:rsidRPr="00084AE9">
              <w:rPr>
                <w:rFonts w:ascii="Times New Roman" w:hAnsi="Times New Roman"/>
                <w:b/>
                <w:bCs/>
                <w:rtl/>
                <w:lang w:bidi="ar-IQ"/>
              </w:rPr>
              <w:t>تحقيق</w:t>
            </w:r>
            <w:proofErr w:type="gramEnd"/>
            <w:r w:rsidRPr="00084AE9">
              <w:rPr>
                <w:rFonts w:ascii="Times New Roman" w:hAnsi="Times New Roman"/>
                <w:b/>
                <w:bCs/>
                <w:rtl/>
                <w:lang w:bidi="ar-IQ"/>
              </w:rPr>
              <w:t xml:space="preserve"> المبادلة المناسبة بين المخاطرة والعائد من أجل تعظيم ثروة المساهمين بالمصرف من       خلال الاستثمار الناجح.</w:t>
            </w:r>
            <w:r w:rsidRPr="00084AE9">
              <w:rPr>
                <w:rFonts w:ascii="Times New Roman" w:hAnsi="Times New Roman"/>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8658E" w:rsidRDefault="0088658E" w:rsidP="00A76FDE">
            <w:pPr>
              <w:spacing w:line="360" w:lineRule="auto"/>
              <w:ind w:left="84"/>
              <w:rPr>
                <w:rFonts w:ascii="Tahoma" w:hAnsi="Tahoma" w:cs="Tahoma"/>
                <w:sz w:val="14"/>
                <w:szCs w:val="14"/>
                <w:rtl/>
                <w:lang w:val="en-US" w:bidi="ar-IQ"/>
              </w:rPr>
            </w:pPr>
          </w:p>
          <w:p w:rsidR="0088658E" w:rsidRDefault="0088658E" w:rsidP="00A76FDE">
            <w:pPr>
              <w:spacing w:line="360" w:lineRule="auto"/>
              <w:ind w:left="84"/>
              <w:jc w:val="right"/>
              <w:rPr>
                <w:rFonts w:ascii="Tahoma" w:hAnsi="Tahoma" w:cs="Tahoma"/>
                <w:sz w:val="14"/>
                <w:szCs w:val="14"/>
                <w:rtl/>
                <w:lang w:val="en-US" w:bidi="ar-IQ"/>
              </w:rPr>
            </w:pPr>
          </w:p>
          <w:p w:rsidR="0088658E" w:rsidRPr="00C06548" w:rsidRDefault="0088658E"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88658E" w:rsidRDefault="00910D74" w:rsidP="0088658E"/>
    <w:sectPr w:rsidR="00910D74" w:rsidRPr="0088658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88658E"/>
    <w:rsid w:val="00910D74"/>
    <w:rsid w:val="009F515C"/>
    <w:rsid w:val="00AA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2015-05-31T05:57:00Z</dcterms:created>
  <dcterms:modified xsi:type="dcterms:W3CDTF">2015-05-31T05:57:00Z</dcterms:modified>
</cp:coreProperties>
</file>