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1"/>
        <w:bidiVisual/>
        <w:tblW w:w="10608" w:type="dxa"/>
        <w:tblInd w:w="485"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0"/>
        <w:gridCol w:w="1218"/>
        <w:gridCol w:w="1893"/>
        <w:gridCol w:w="21"/>
        <w:gridCol w:w="1267"/>
        <w:gridCol w:w="3555"/>
        <w:gridCol w:w="56"/>
        <w:gridCol w:w="21"/>
        <w:gridCol w:w="2567"/>
      </w:tblGrid>
      <w:tr w:rsidR="00DD603B" w:rsidTr="002D1D38">
        <w:trPr>
          <w:gridBefore w:val="1"/>
          <w:wBefore w:w="10" w:type="dxa"/>
          <w:trHeight w:hRule="exact" w:val="506"/>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Pr="009F1598" w:rsidRDefault="00DD603B" w:rsidP="00B2373B">
            <w:pPr>
              <w:ind w:left="128"/>
              <w:rPr>
                <w:rFonts w:hint="cs"/>
                <w:b/>
                <w:bCs/>
                <w:sz w:val="32"/>
                <w:szCs w:val="32"/>
                <w:rtl/>
                <w:lang w:val="en-US" w:bidi="ar-IQ"/>
              </w:rPr>
            </w:pPr>
            <w:r w:rsidRPr="009F1598">
              <w:rPr>
                <w:b/>
                <w:bCs/>
                <w:sz w:val="32"/>
                <w:szCs w:val="32"/>
                <w:rtl/>
                <w:lang w:val="en-US" w:bidi="ar-IQ"/>
              </w:rPr>
              <w:t>كلية الادارة والاقتصاد</w:t>
            </w: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College  Name</w:t>
            </w:r>
          </w:p>
        </w:tc>
      </w:tr>
      <w:tr w:rsidR="00DD603B" w:rsidTr="002D1D38">
        <w:trPr>
          <w:gridBefore w:val="1"/>
          <w:wBefore w:w="10" w:type="dxa"/>
          <w:trHeight w:hRule="exact" w:val="506"/>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Pr="009F1598" w:rsidRDefault="00DD603B" w:rsidP="00B2373B">
            <w:pPr>
              <w:rPr>
                <w:b/>
                <w:bCs/>
                <w:sz w:val="32"/>
                <w:szCs w:val="32"/>
                <w:lang w:val="en-US" w:bidi="ar-IQ"/>
              </w:rPr>
            </w:pPr>
            <w:r w:rsidRPr="009F1598">
              <w:rPr>
                <w:b/>
                <w:bCs/>
                <w:sz w:val="32"/>
                <w:szCs w:val="32"/>
                <w:rtl/>
                <w:lang w:val="en-US" w:bidi="ar-IQ"/>
              </w:rPr>
              <w:t>ادارة</w:t>
            </w:r>
            <w:r w:rsidRPr="009F1598">
              <w:rPr>
                <w:rFonts w:hint="cs"/>
                <w:b/>
                <w:bCs/>
                <w:sz w:val="32"/>
                <w:szCs w:val="32"/>
                <w:rtl/>
                <w:lang w:val="en-US" w:bidi="ar-IQ"/>
              </w:rPr>
              <w:t xml:space="preserve"> مستشفيات</w:t>
            </w: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Department</w:t>
            </w:r>
          </w:p>
        </w:tc>
      </w:tr>
      <w:tr w:rsidR="00DD603B" w:rsidTr="002D1D38">
        <w:trPr>
          <w:gridBefore w:val="1"/>
          <w:wBefore w:w="10" w:type="dxa"/>
          <w:trHeight w:hRule="exact" w:val="714"/>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Pr="009F1598" w:rsidRDefault="00DD603B" w:rsidP="00B2373B">
            <w:pPr>
              <w:rPr>
                <w:b/>
                <w:bCs/>
                <w:sz w:val="32"/>
                <w:szCs w:val="32"/>
                <w:lang w:val="en-US"/>
              </w:rPr>
            </w:pPr>
            <w:r w:rsidRPr="009F1598">
              <w:rPr>
                <w:rFonts w:hint="cs"/>
                <w:b/>
                <w:bCs/>
                <w:sz w:val="32"/>
                <w:szCs w:val="32"/>
                <w:rtl/>
                <w:lang w:val="en-US"/>
              </w:rPr>
              <w:t>ابتسام احمد محمود</w:t>
            </w: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Full Name as written   in Passport</w:t>
            </w:r>
          </w:p>
        </w:tc>
      </w:tr>
      <w:tr w:rsidR="00DD603B" w:rsidTr="002D1D38">
        <w:trPr>
          <w:gridBefore w:val="1"/>
          <w:wBefore w:w="10" w:type="dxa"/>
          <w:trHeight w:hRule="exact" w:val="506"/>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e-mail</w:t>
            </w:r>
          </w:p>
        </w:tc>
      </w:tr>
      <w:tr w:rsidR="00DD603B" w:rsidTr="002D1D38">
        <w:trPr>
          <w:trHeight w:hRule="exact" w:val="492"/>
        </w:trPr>
        <w:tc>
          <w:tcPr>
            <w:tcW w:w="1228" w:type="dxa"/>
            <w:gridSpan w:val="2"/>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val="en-US" w:bidi="ar-IQ"/>
              </w:rPr>
            </w:pPr>
            <w:r>
              <w:rPr>
                <w:rtl/>
              </w:rPr>
              <w:pict>
                <v:oval id="_x0000_s1093" style="position:absolute;left:0;text-align:left;margin-left:1.5pt;margin-top:3.35pt;width:9.8pt;height:10.35pt;z-index:25166745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1914" w:type="dxa"/>
            <w:gridSpan w:val="2"/>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val="en-US" w:bidi="ar-IQ"/>
              </w:rPr>
            </w:pPr>
            <w:r>
              <w:rPr>
                <w:rtl/>
              </w:rPr>
              <w:pict>
                <v:oval id="_x0000_s1094" style="position:absolute;left:0;text-align:left;margin-left:3.25pt;margin-top:2.65pt;width:9.8pt;height:10.35pt;z-index:25166848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267" w:type="dxa"/>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jc w:val="center"/>
              <w:rPr>
                <w:rFonts w:ascii="Simplified Arabic" w:hAnsi="Simplified Arabic" w:cs="Simplified Arabic"/>
                <w:b/>
                <w:bCs/>
                <w:sz w:val="22"/>
                <w:szCs w:val="22"/>
                <w:lang w:bidi="ar-IQ"/>
              </w:rPr>
            </w:pPr>
            <w:r>
              <w:rPr>
                <w:rtl/>
              </w:rPr>
              <w:pict>
                <v:oval id="_x0000_s1095" style="position:absolute;left:0;text-align:left;margin-left:-.3pt;margin-top:3.35pt;width:9.8pt;height:10.35pt;z-index:251669504;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3632" w:type="dxa"/>
            <w:gridSpan w:val="3"/>
            <w:tcBorders>
              <w:top w:val="threeDEmboss" w:sz="18" w:space="0" w:color="auto"/>
              <w:left w:val="threeDEmboss" w:sz="18" w:space="0" w:color="auto"/>
              <w:bottom w:val="threeDEmboss" w:sz="18" w:space="0" w:color="auto"/>
              <w:right w:val="threeDEmboss" w:sz="18" w:space="0" w:color="auto"/>
            </w:tcBorders>
            <w:vAlign w:val="center"/>
          </w:tcPr>
          <w:p w:rsidR="00DD603B" w:rsidRDefault="00DD603B" w:rsidP="00B2373B">
            <w:pPr>
              <w:spacing w:line="276" w:lineRule="auto"/>
              <w:jc w:val="center"/>
              <w:rPr>
                <w:rFonts w:ascii="Simplified Arabic" w:hAnsi="Simplified Arabic" w:cs="Simplified Arabic"/>
                <w:b/>
                <w:bCs/>
                <w:sz w:val="22"/>
                <w:szCs w:val="22"/>
                <w:lang w:val="en-US" w:bidi="ar-IQ"/>
              </w:rPr>
            </w:pPr>
            <w:r>
              <w:rPr>
                <w:rtl/>
              </w:rPr>
              <w:pict>
                <v:oval id="_x0000_s1096" style="position:absolute;left:0;text-align:left;margin-left:3.15pt;margin-top:4.05pt;width:9.8pt;height:10.35pt;z-index:25167052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567"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 xml:space="preserve">Career </w:t>
            </w:r>
          </w:p>
        </w:tc>
      </w:tr>
      <w:tr w:rsidR="00DD603B" w:rsidTr="002D1D38">
        <w:trPr>
          <w:trHeight w:hRule="exact" w:val="398"/>
        </w:trPr>
        <w:tc>
          <w:tcPr>
            <w:tcW w:w="3121" w:type="dxa"/>
            <w:gridSpan w:val="3"/>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r>
              <w:rPr>
                <w:rtl/>
              </w:rPr>
              <w:pict>
                <v:oval id="_x0000_s1098" style="position:absolute;margin-left:3.65pt;margin-top:1.65pt;width:12.05pt;height:12.6pt;z-index:251672576;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899" w:type="dxa"/>
            <w:gridSpan w:val="4"/>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jc w:val="right"/>
              <w:rPr>
                <w:lang w:val="en-US" w:bidi="ar-IQ"/>
              </w:rPr>
            </w:pPr>
            <w:r>
              <w:rPr>
                <w:rtl/>
              </w:rPr>
              <w:pict>
                <v:oval id="_x0000_s1097" style="position:absolute;margin-left:3.65pt;margin-top:1.65pt;width:15.8pt;height:12.6pt;z-index:251671552;mso-position-horizontal-relative:text;mso-position-vertical-relative:text" fillcolor="#339" strokeweight="1pt">
                  <v:stroke dashstyle="dash"/>
                  <v:shadow color="#868686"/>
                  <w10:wrap anchorx="page"/>
                </v:oval>
              </w:pict>
            </w:r>
            <w:r>
              <w:rPr>
                <w:lang w:val="en-US" w:bidi="ar-IQ"/>
              </w:rPr>
              <w:t xml:space="preserve">           Master         </w:t>
            </w:r>
          </w:p>
        </w:tc>
        <w:tc>
          <w:tcPr>
            <w:tcW w:w="2588"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p>
        </w:tc>
      </w:tr>
      <w:tr w:rsidR="00DD603B" w:rsidTr="002D1D38">
        <w:trPr>
          <w:gridBefore w:val="1"/>
          <w:wBefore w:w="10" w:type="dxa"/>
          <w:trHeight w:hRule="exact" w:val="704"/>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rPr>
                <w:lang w:val="en-US" w:bidi="ar-IQ"/>
              </w:rPr>
            </w:pPr>
            <w:r>
              <w:rPr>
                <w:rFonts w:hint="cs"/>
                <w:rtl/>
                <w:lang w:val="en-US" w:bidi="ar-IQ"/>
              </w:rPr>
              <w:t>دور مدونات السلوك الاخلاقي للهيئات التمريضية في المسؤولية الاجتماعية</w:t>
            </w:r>
            <w:r w:rsidRPr="003C0AC7">
              <w:rPr>
                <w:rFonts w:hint="cs"/>
                <w:b/>
                <w:bCs/>
                <w:sz w:val="20"/>
                <w:szCs w:val="20"/>
                <w:rtl/>
                <w:lang w:bidi="ar-IQ"/>
              </w:rPr>
              <w:t xml:space="preserve"> دراسة استطلاعية في بعض مستشفيات بغداد</w:t>
            </w: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 xml:space="preserve">Thesis  Title </w:t>
            </w:r>
          </w:p>
        </w:tc>
      </w:tr>
      <w:tr w:rsidR="00DD603B" w:rsidTr="002D1D38">
        <w:trPr>
          <w:gridBefore w:val="1"/>
          <w:wBefore w:w="10" w:type="dxa"/>
          <w:trHeight w:hRule="exact" w:val="379"/>
        </w:trPr>
        <w:tc>
          <w:tcPr>
            <w:tcW w:w="7954" w:type="dxa"/>
            <w:gridSpan w:val="5"/>
            <w:tcBorders>
              <w:top w:val="threeDEmboss" w:sz="18" w:space="0" w:color="auto"/>
              <w:left w:val="threeDEmboss" w:sz="18" w:space="0" w:color="auto"/>
              <w:bottom w:val="threeDEmboss" w:sz="18" w:space="0" w:color="auto"/>
              <w:right w:val="threeDEmboss" w:sz="18" w:space="0" w:color="auto"/>
            </w:tcBorders>
          </w:tcPr>
          <w:p w:rsidR="00DD603B" w:rsidRDefault="00DD603B" w:rsidP="00B2373B">
            <w:pPr>
              <w:tabs>
                <w:tab w:val="left" w:pos="4843"/>
              </w:tabs>
              <w:jc w:val="center"/>
              <w:rPr>
                <w:lang w:val="en-US" w:bidi="ar-IQ"/>
              </w:rPr>
            </w:pPr>
            <w:r>
              <w:rPr>
                <w:rFonts w:hint="cs"/>
                <w:rtl/>
                <w:lang w:val="en-US" w:bidi="ar-IQ"/>
              </w:rPr>
              <w:t>2011</w:t>
            </w:r>
          </w:p>
        </w:tc>
        <w:tc>
          <w:tcPr>
            <w:tcW w:w="2644" w:type="dxa"/>
            <w:gridSpan w:val="3"/>
            <w:tcBorders>
              <w:top w:val="threeDEmboss" w:sz="18" w:space="0" w:color="auto"/>
              <w:left w:val="threeDEmboss" w:sz="18" w:space="0" w:color="auto"/>
              <w:bottom w:val="threeDEmboss" w:sz="18" w:space="0" w:color="auto"/>
              <w:right w:val="threeDEmboss" w:sz="18" w:space="0" w:color="auto"/>
            </w:tcBorders>
            <w:shd w:val="clear" w:color="auto" w:fill="DDD9C3"/>
          </w:tcPr>
          <w:p w:rsidR="00DD603B" w:rsidRDefault="00DD603B" w:rsidP="00B2373B">
            <w:pPr>
              <w:jc w:val="right"/>
              <w:rPr>
                <w:rFonts w:ascii="Tahoma" w:hAnsi="Tahoma" w:cs="Tahoma"/>
                <w:lang w:val="en-US" w:bidi="ar-IQ"/>
              </w:rPr>
            </w:pPr>
            <w:r>
              <w:rPr>
                <w:rFonts w:ascii="Tahoma" w:hAnsi="Tahoma" w:cs="Tahoma"/>
                <w:lang w:val="en-US" w:bidi="ar-IQ"/>
              </w:rPr>
              <w:t>Year</w:t>
            </w:r>
          </w:p>
        </w:tc>
      </w:tr>
      <w:tr w:rsidR="00DD603B" w:rsidTr="002D1D38">
        <w:trPr>
          <w:gridBefore w:val="1"/>
          <w:wBefore w:w="10" w:type="dxa"/>
          <w:trHeight w:val="7044"/>
        </w:trPr>
        <w:tc>
          <w:tcPr>
            <w:tcW w:w="7954" w:type="dxa"/>
            <w:gridSpan w:val="5"/>
            <w:tcBorders>
              <w:top w:val="threeDEmboss" w:sz="18" w:space="0" w:color="auto"/>
              <w:left w:val="threeDEmboss" w:sz="18" w:space="0" w:color="auto"/>
              <w:bottom w:val="threeDEmboss" w:sz="24" w:space="0" w:color="auto"/>
              <w:right w:val="threeDEmboss" w:sz="18" w:space="0" w:color="auto"/>
            </w:tcBorders>
          </w:tcPr>
          <w:p w:rsidR="00DD603B" w:rsidRPr="003C0AC7" w:rsidRDefault="00DD603B" w:rsidP="00B2373B">
            <w:pPr>
              <w:rPr>
                <w:rFonts w:cs="Simple Bold Jut Out" w:hint="cs"/>
                <w:b/>
                <w:bCs/>
                <w:sz w:val="20"/>
                <w:szCs w:val="20"/>
                <w:lang w:bidi="ar-IQ"/>
              </w:rPr>
            </w:pPr>
          </w:p>
          <w:p w:rsidR="00DD603B" w:rsidRPr="002D17E7" w:rsidRDefault="00DD603B" w:rsidP="00B2373B">
            <w:pPr>
              <w:spacing w:line="360" w:lineRule="auto"/>
              <w:jc w:val="lowKashida"/>
              <w:rPr>
                <w:rFonts w:hint="cs"/>
                <w:b/>
                <w:bCs/>
                <w:sz w:val="20"/>
                <w:szCs w:val="20"/>
                <w:rtl/>
                <w:lang w:bidi="ar-IQ"/>
              </w:rPr>
            </w:pPr>
            <w:r w:rsidRPr="002D17E7">
              <w:rPr>
                <w:rFonts w:hint="cs"/>
                <w:b/>
                <w:bCs/>
                <w:sz w:val="20"/>
                <w:szCs w:val="20"/>
                <w:rtl/>
                <w:lang w:bidi="ar-IQ"/>
              </w:rPr>
              <w:t xml:space="preserve">       إ</w:t>
            </w:r>
            <w:r w:rsidRPr="002D17E7">
              <w:rPr>
                <w:b/>
                <w:bCs/>
                <w:sz w:val="20"/>
                <w:szCs w:val="20"/>
                <w:rtl/>
                <w:lang w:bidi="ar-IQ"/>
              </w:rPr>
              <w:t xml:space="preserve">ن هذا البحث يتناول مشكلة أساسية هي </w:t>
            </w:r>
            <w:r w:rsidRPr="002D17E7">
              <w:rPr>
                <w:rFonts w:hint="cs"/>
                <w:b/>
                <w:bCs/>
                <w:sz w:val="20"/>
                <w:szCs w:val="20"/>
                <w:rtl/>
                <w:lang w:bidi="ar-IQ"/>
              </w:rPr>
              <w:t xml:space="preserve">دور </w:t>
            </w:r>
            <w:r w:rsidRPr="002D17E7">
              <w:rPr>
                <w:b/>
                <w:bCs/>
                <w:sz w:val="20"/>
                <w:szCs w:val="20"/>
                <w:rtl/>
                <w:lang w:bidi="ar-IQ"/>
              </w:rPr>
              <w:t xml:space="preserve">المدونات الأخلاقية </w:t>
            </w:r>
            <w:r w:rsidRPr="002D17E7">
              <w:rPr>
                <w:rFonts w:hint="cs"/>
                <w:b/>
                <w:bCs/>
                <w:sz w:val="20"/>
                <w:szCs w:val="20"/>
                <w:rtl/>
                <w:lang w:bidi="ar-IQ"/>
              </w:rPr>
              <w:t xml:space="preserve"> للهيئات التمريضية في المسؤولية الاجتماعية .</w:t>
            </w:r>
          </w:p>
          <w:p w:rsidR="00DD603B" w:rsidRPr="002D17E7" w:rsidRDefault="00DD603B" w:rsidP="00B2373B">
            <w:pPr>
              <w:spacing w:line="360" w:lineRule="auto"/>
              <w:jc w:val="lowKashida"/>
              <w:rPr>
                <w:rFonts w:hint="cs"/>
                <w:b/>
                <w:bCs/>
                <w:sz w:val="20"/>
                <w:szCs w:val="20"/>
                <w:rtl/>
                <w:lang w:bidi="ar-IQ"/>
              </w:rPr>
            </w:pPr>
            <w:r w:rsidRPr="002D17E7">
              <w:rPr>
                <w:rFonts w:hint="cs"/>
                <w:b/>
                <w:bCs/>
                <w:sz w:val="20"/>
                <w:szCs w:val="20"/>
                <w:rtl/>
                <w:lang w:bidi="ar-IQ"/>
              </w:rPr>
              <w:t>حيث يعد موضوع أخلاقيات مهنة التمريض من الموضوعات المهمة  وعليه تكون لمهنة التمريض أخلاقياتها الخاصة والتي تضمن آدابها وسلوكياتها.</w:t>
            </w:r>
          </w:p>
          <w:p w:rsidR="00DD603B" w:rsidRPr="002D17E7" w:rsidRDefault="00DD603B" w:rsidP="00B2373B">
            <w:pPr>
              <w:spacing w:line="360" w:lineRule="auto"/>
              <w:jc w:val="lowKashida"/>
              <w:rPr>
                <w:rFonts w:hint="cs"/>
                <w:b/>
                <w:bCs/>
                <w:sz w:val="20"/>
                <w:szCs w:val="20"/>
                <w:rtl/>
                <w:lang w:bidi="ar-IQ"/>
              </w:rPr>
            </w:pPr>
            <w:r w:rsidRPr="002D17E7">
              <w:rPr>
                <w:rFonts w:hint="cs"/>
                <w:b/>
                <w:bCs/>
                <w:sz w:val="20"/>
                <w:szCs w:val="20"/>
                <w:rtl/>
                <w:lang w:bidi="ar-IQ"/>
              </w:rPr>
              <w:t xml:space="preserve">     أن هدف الدراسة هو تعريف الملاكات التمريضية بمبادئ السلوك المهني الواجب إتباعها في حياتهم المهنية وليكون دليلاً لهم وإثارة اهتمامهم لموضوع أخلاقيات المهنة  فضلا عن تقديم التوصيات والعمل على إجراء المزيد من البحوث من خلال تناول المتغيرات .</w:t>
            </w:r>
          </w:p>
          <w:p w:rsidR="00DD603B" w:rsidRPr="002D17E7" w:rsidRDefault="00DD603B" w:rsidP="00B2373B">
            <w:pPr>
              <w:spacing w:line="360" w:lineRule="auto"/>
              <w:jc w:val="lowKashida"/>
              <w:rPr>
                <w:rFonts w:hint="cs"/>
                <w:b/>
                <w:bCs/>
                <w:sz w:val="20"/>
                <w:szCs w:val="20"/>
                <w:rtl/>
                <w:lang w:bidi="ar-IQ"/>
              </w:rPr>
            </w:pPr>
            <w:r w:rsidRPr="002D17E7">
              <w:rPr>
                <w:rFonts w:hint="cs"/>
                <w:b/>
                <w:bCs/>
                <w:sz w:val="20"/>
                <w:szCs w:val="20"/>
                <w:rtl/>
                <w:lang w:bidi="ar-IQ"/>
              </w:rPr>
              <w:t xml:space="preserve">  طبقت الدراسة على عينة قوامها ( 40 ) تمريضياً من العاملين في الهيئات التمريضية في كل من مستشفى الطفل المركزي ، مستشفى الكاظمية التعليمي والمركز الصحي في حي العدل .</w:t>
            </w:r>
          </w:p>
          <w:p w:rsidR="00DD603B" w:rsidRPr="002D17E7" w:rsidRDefault="00DD603B" w:rsidP="00B2373B">
            <w:pPr>
              <w:spacing w:line="360" w:lineRule="auto"/>
              <w:jc w:val="lowKashida"/>
              <w:rPr>
                <w:rFonts w:hint="cs"/>
                <w:b/>
                <w:bCs/>
                <w:sz w:val="20"/>
                <w:szCs w:val="20"/>
                <w:rtl/>
                <w:lang w:bidi="ar-IQ"/>
              </w:rPr>
            </w:pPr>
            <w:r w:rsidRPr="002D17E7">
              <w:rPr>
                <w:rFonts w:hint="cs"/>
                <w:b/>
                <w:bCs/>
                <w:sz w:val="20"/>
                <w:szCs w:val="20"/>
                <w:rtl/>
                <w:lang w:bidi="ar-IQ"/>
              </w:rPr>
              <w:t xml:space="preserve">   خرجت الدراسة بنتائج أهمها تأكيد العلاقة بين إبعاد المدونات الأخلاقية والمسؤولية الاجتماعية ارتباطاً وتأثيراً وكان من أهم التوصيات التي قدمتها الدراسة هي ضرورة الاهتمام الجاد بموضوع الأخلاقيات لمهنة التمريض والمدونات الأخلاقية والاستمرار في البحوث التي تتناول موضوع الاخلاقيات التمريضية لحاجة منظماتنا الصحية وان تستمر المنظمة الصحية طبع المدونات الأخلاقية ووضعها أمام أنظار الجميع . </w:t>
            </w:r>
          </w:p>
          <w:p w:rsidR="00DD603B" w:rsidRPr="002D17E7" w:rsidRDefault="00DD603B" w:rsidP="00B2373B">
            <w:pPr>
              <w:spacing w:line="360" w:lineRule="auto"/>
              <w:jc w:val="lowKashida"/>
              <w:rPr>
                <w:b/>
                <w:bCs/>
                <w:sz w:val="20"/>
                <w:szCs w:val="20"/>
                <w:lang w:bidi="ar-IQ"/>
              </w:rPr>
            </w:pPr>
            <w:r w:rsidRPr="002D17E7">
              <w:rPr>
                <w:rFonts w:hint="cs"/>
                <w:b/>
                <w:bCs/>
                <w:sz w:val="20"/>
                <w:szCs w:val="20"/>
                <w:rtl/>
                <w:lang w:bidi="ar-IQ"/>
              </w:rPr>
              <w:t>ط</w:t>
            </w:r>
          </w:p>
          <w:p w:rsidR="00DD603B" w:rsidRPr="002D17E7" w:rsidRDefault="00DD603B" w:rsidP="00B2373B">
            <w:pPr>
              <w:jc w:val="right"/>
              <w:rPr>
                <w:b/>
                <w:bCs/>
              </w:rPr>
            </w:pPr>
          </w:p>
          <w:p w:rsidR="00DD603B" w:rsidRDefault="00DD603B" w:rsidP="00B2373B">
            <w:pPr>
              <w:jc w:val="right"/>
              <w:rPr>
                <w:rtl/>
              </w:rPr>
            </w:pPr>
          </w:p>
          <w:p w:rsidR="00DD603B" w:rsidRDefault="00DD603B" w:rsidP="00B2373B">
            <w:pPr>
              <w:spacing w:line="360" w:lineRule="auto"/>
              <w:jc w:val="both"/>
              <w:rPr>
                <w:rFonts w:hint="cs"/>
                <w:lang w:val="en-US" w:bidi="ar-IQ"/>
              </w:rPr>
            </w:pPr>
          </w:p>
        </w:tc>
        <w:tc>
          <w:tcPr>
            <w:tcW w:w="2644" w:type="dxa"/>
            <w:gridSpan w:val="3"/>
            <w:tcBorders>
              <w:top w:val="threeDEmboss" w:sz="18" w:space="0" w:color="auto"/>
              <w:left w:val="threeDEmboss" w:sz="18" w:space="0" w:color="auto"/>
              <w:bottom w:val="threeDEmboss" w:sz="24" w:space="0" w:color="auto"/>
              <w:right w:val="threeDEmboss" w:sz="18" w:space="0" w:color="auto"/>
            </w:tcBorders>
            <w:shd w:val="clear" w:color="auto" w:fill="DDD9C3"/>
          </w:tcPr>
          <w:p w:rsidR="00DD603B" w:rsidRDefault="00DD603B" w:rsidP="00B2373B">
            <w:pPr>
              <w:spacing w:line="360" w:lineRule="auto"/>
              <w:rPr>
                <w:rFonts w:ascii="Tahoma" w:hAnsi="Tahoma" w:cs="Tahoma"/>
                <w:rtl/>
                <w:lang w:val="en-US" w:bidi="ar-IQ"/>
              </w:rPr>
            </w:pPr>
          </w:p>
          <w:p w:rsidR="00DD603B" w:rsidRDefault="00DD603B" w:rsidP="00B2373B">
            <w:pPr>
              <w:spacing w:line="360" w:lineRule="auto"/>
              <w:jc w:val="right"/>
              <w:rPr>
                <w:rFonts w:ascii="Tahoma" w:hAnsi="Tahoma" w:cs="Tahoma"/>
                <w:rtl/>
                <w:lang w:val="en-US" w:bidi="ar-IQ"/>
              </w:rPr>
            </w:pPr>
          </w:p>
          <w:p w:rsidR="00DD603B" w:rsidRDefault="00DD603B"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pPr>
        <w:rPr>
          <w:rFonts w:hint="cs"/>
          <w:lang w:bidi="ar-IQ"/>
        </w:rPr>
      </w:pPr>
    </w:p>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e Bold Jut Out">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0A3211"/>
    <w:rsid w:val="001B44FB"/>
    <w:rsid w:val="00252ABC"/>
    <w:rsid w:val="002A58E8"/>
    <w:rsid w:val="002D1D38"/>
    <w:rsid w:val="003F62FF"/>
    <w:rsid w:val="00486509"/>
    <w:rsid w:val="005B0BC8"/>
    <w:rsid w:val="007738E0"/>
    <w:rsid w:val="00927EDF"/>
    <w:rsid w:val="009B734C"/>
    <w:rsid w:val="00D6782F"/>
    <w:rsid w:val="00DA7452"/>
    <w:rsid w:val="00DB495E"/>
    <w:rsid w:val="00DD2F55"/>
    <w:rsid w:val="00DD603B"/>
    <w:rsid w:val="00DD7DEE"/>
    <w:rsid w:val="00E65E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B"/>
    <w:pPr>
      <w:bidi/>
      <w:spacing w:after="0" w:line="240" w:lineRule="auto"/>
    </w:pPr>
    <w:rPr>
      <w:rFonts w:ascii="Cambria" w:eastAsia="Cambria" w:hAnsi="Cambria" w:cs="Times New Roman"/>
      <w:sz w:val="24"/>
      <w:szCs w:val="24"/>
      <w:lang w:val="en-GB"/>
    </w:rPr>
  </w:style>
  <w:style w:type="paragraph" w:styleId="Heading5">
    <w:name w:val="heading 5"/>
    <w:basedOn w:val="Normal"/>
    <w:next w:val="Normal"/>
    <w:link w:val="Heading5Char"/>
    <w:qFormat/>
    <w:rsid w:val="00DD603B"/>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603B"/>
    <w:rPr>
      <w:rFonts w:ascii="Times New Roman" w:eastAsia="Times New Roman" w:hAnsi="Times New Roman" w:cs="DecoType Naskh Swashes"/>
      <w:sz w:val="28"/>
      <w:szCs w:val="44"/>
    </w:rPr>
  </w:style>
  <w:style w:type="character" w:customStyle="1" w:styleId="hps">
    <w:name w:val="hps"/>
    <w:basedOn w:val="DefaultParagraphFont"/>
    <w:rsid w:val="00DD603B"/>
  </w:style>
  <w:style w:type="character" w:customStyle="1" w:styleId="shorttext">
    <w:name w:val="short_text"/>
    <w:basedOn w:val="DefaultParagraphFont"/>
    <w:rsid w:val="00DD603B"/>
  </w:style>
  <w:style w:type="paragraph" w:styleId="BodyText3">
    <w:name w:val="Body Text 3"/>
    <w:basedOn w:val="Normal"/>
    <w:link w:val="BodyText3Char"/>
    <w:rsid w:val="00DD603B"/>
    <w:pPr>
      <w:spacing w:after="120"/>
    </w:pPr>
    <w:rPr>
      <w:sz w:val="16"/>
      <w:szCs w:val="16"/>
    </w:rPr>
  </w:style>
  <w:style w:type="character" w:customStyle="1" w:styleId="BodyText3Char">
    <w:name w:val="Body Text 3 Char"/>
    <w:basedOn w:val="DefaultParagraphFont"/>
    <w:link w:val="BodyText3"/>
    <w:rsid w:val="00DD603B"/>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2013-03-05T08:54:00Z</dcterms:created>
  <dcterms:modified xsi:type="dcterms:W3CDTF">2013-03-05T08:54:00Z</dcterms:modified>
</cp:coreProperties>
</file>