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04314"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4314" w:rsidRDefault="00D04314"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r>
              <w:rPr>
                <w:rFonts w:ascii="Tahoma" w:hAnsi="Tahoma" w:cs="Tahoma"/>
                <w:lang w:val="en-US" w:bidi="ar-IQ"/>
              </w:rPr>
              <w:t>College  Name</w:t>
            </w:r>
          </w:p>
        </w:tc>
      </w:tr>
      <w:tr w:rsidR="00D04314"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4314" w:rsidRDefault="00D04314"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r>
              <w:rPr>
                <w:rFonts w:ascii="Tahoma" w:hAnsi="Tahoma" w:cs="Tahoma"/>
                <w:lang w:val="en-US" w:bidi="ar-IQ"/>
              </w:rPr>
              <w:t>Department</w:t>
            </w:r>
          </w:p>
        </w:tc>
      </w:tr>
      <w:tr w:rsidR="00D04314"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4314" w:rsidRPr="0019621B" w:rsidRDefault="00D04314" w:rsidP="00AE02C8">
            <w:pPr>
              <w:pStyle w:val="BodyText3"/>
              <w:rPr>
                <w:rFonts w:ascii="Times New Roman" w:hAnsi="Times New Roman"/>
                <w:b/>
                <w:bCs/>
                <w:sz w:val="32"/>
                <w:szCs w:val="32"/>
                <w:lang w:val="en-US" w:bidi="ar-IQ"/>
              </w:rPr>
            </w:pPr>
            <w:r w:rsidRPr="0019621B">
              <w:rPr>
                <w:rFonts w:ascii="Times New Roman" w:hAnsi="Times New Roman"/>
                <w:b/>
                <w:bCs/>
                <w:sz w:val="32"/>
                <w:szCs w:val="32"/>
                <w:rtl/>
                <w:lang w:bidi="ar-IQ"/>
              </w:rPr>
              <w:t>علاء حسين علي الاعظمي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r>
              <w:rPr>
                <w:rFonts w:ascii="Tahoma" w:hAnsi="Tahoma" w:cs="Tahoma"/>
                <w:lang w:val="en-US" w:bidi="ar-IQ"/>
              </w:rPr>
              <w:t>Full Name as written   in Passport</w:t>
            </w:r>
          </w:p>
        </w:tc>
      </w:tr>
      <w:tr w:rsidR="00D04314"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4314" w:rsidRDefault="00D04314"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r>
              <w:rPr>
                <w:rFonts w:ascii="Tahoma" w:hAnsi="Tahoma" w:cs="Tahoma"/>
                <w:lang w:val="en-US" w:bidi="ar-IQ"/>
              </w:rPr>
              <w:t>e-mail</w:t>
            </w:r>
          </w:p>
        </w:tc>
      </w:tr>
      <w:tr w:rsidR="00D04314"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04314" w:rsidRDefault="00D04314"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04314" w:rsidRDefault="00D04314"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04314" w:rsidRDefault="00D04314"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04314" w:rsidRDefault="00D04314"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r>
              <w:rPr>
                <w:rFonts w:ascii="Tahoma" w:hAnsi="Tahoma" w:cs="Tahoma"/>
                <w:lang w:val="en-US" w:bidi="ar-IQ"/>
              </w:rPr>
              <w:t xml:space="preserve">Career </w:t>
            </w:r>
          </w:p>
        </w:tc>
      </w:tr>
      <w:tr w:rsidR="00D04314"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04314" w:rsidRDefault="00D04314"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04314" w:rsidRDefault="00D04314"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p>
        </w:tc>
      </w:tr>
      <w:tr w:rsidR="00D04314" w:rsidTr="00AE02C8">
        <w:trPr>
          <w:trHeight w:hRule="exact" w:val="4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4314" w:rsidRPr="0019621B" w:rsidRDefault="00D04314" w:rsidP="00AE02C8">
            <w:pPr>
              <w:jc w:val="center"/>
              <w:rPr>
                <w:rFonts w:ascii="Times New Roman" w:hAnsi="Times New Roman"/>
                <w:b/>
                <w:bCs/>
                <w:sz w:val="32"/>
                <w:szCs w:val="32"/>
                <w:rtl/>
                <w:lang w:bidi="ar-IQ"/>
              </w:rPr>
            </w:pPr>
            <w:r w:rsidRPr="0019621B">
              <w:rPr>
                <w:rFonts w:ascii="Times New Roman" w:hAnsi="Times New Roman"/>
                <w:b/>
                <w:bCs/>
                <w:sz w:val="32"/>
                <w:szCs w:val="32"/>
                <w:rtl/>
                <w:lang w:bidi="ar-IQ"/>
              </w:rPr>
              <w:t>خصائص توزيع باريتو ومقارنة طرائق تقدير معلمة الشكل</w:t>
            </w:r>
          </w:p>
          <w:p w:rsidR="00D04314" w:rsidRPr="0019621B" w:rsidRDefault="00D04314" w:rsidP="00AE02C8">
            <w:pPr>
              <w:jc w:val="center"/>
              <w:rPr>
                <w:rFonts w:ascii="Times New Roman" w:hAnsi="Times New Roman"/>
                <w:sz w:val="32"/>
                <w:szCs w:val="32"/>
                <w:rtl/>
                <w:lang w:bidi="ar-IQ"/>
              </w:rPr>
            </w:pPr>
          </w:p>
          <w:p w:rsidR="00D04314" w:rsidRPr="0019621B" w:rsidRDefault="00D04314" w:rsidP="00AE02C8">
            <w:pPr>
              <w:spacing w:line="360" w:lineRule="auto"/>
              <w:jc w:val="center"/>
              <w:rPr>
                <w:rFonts w:ascii="Times New Roman" w:hAnsi="Times New Roman"/>
                <w:b/>
                <w:bCs/>
                <w:sz w:val="32"/>
                <w:szCs w:val="32"/>
                <w:rtl/>
                <w:lang w:bidi="ar-IQ"/>
              </w:rPr>
            </w:pPr>
          </w:p>
          <w:p w:rsidR="00D04314" w:rsidRPr="0019621B" w:rsidRDefault="00D04314" w:rsidP="00AE02C8">
            <w:pPr>
              <w:spacing w:line="360" w:lineRule="auto"/>
              <w:jc w:val="center"/>
              <w:rPr>
                <w:rFonts w:ascii="Times New Roman" w:hAnsi="Times New Roman"/>
                <w:b/>
                <w:bCs/>
                <w:sz w:val="32"/>
                <w:szCs w:val="32"/>
                <w:rtl/>
                <w:lang w:bidi="ar-IQ"/>
              </w:rPr>
            </w:pPr>
          </w:p>
          <w:p w:rsidR="00D04314" w:rsidRPr="00C53B4A" w:rsidRDefault="00D04314" w:rsidP="00AE02C8">
            <w:pPr>
              <w:spacing w:line="360" w:lineRule="auto"/>
              <w:jc w:val="center"/>
              <w:rPr>
                <w:rFonts w:cs="PT Bold Heading" w:hint="cs"/>
                <w:b/>
                <w:bCs/>
                <w:sz w:val="8"/>
                <w:szCs w:val="8"/>
                <w:rtl/>
                <w:lang w:bidi="ar-IQ"/>
              </w:rPr>
            </w:pPr>
          </w:p>
          <w:p w:rsidR="00D04314" w:rsidRDefault="00D04314" w:rsidP="00AE02C8">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r>
              <w:rPr>
                <w:rFonts w:ascii="Tahoma" w:hAnsi="Tahoma" w:cs="Tahoma"/>
                <w:lang w:val="en-US" w:bidi="ar-IQ"/>
              </w:rPr>
              <w:t xml:space="preserve">Thesis  Title </w:t>
            </w:r>
          </w:p>
        </w:tc>
      </w:tr>
      <w:tr w:rsidR="00D04314"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4314" w:rsidRPr="0019621B" w:rsidRDefault="00D04314" w:rsidP="00AE02C8">
            <w:pPr>
              <w:jc w:val="center"/>
              <w:rPr>
                <w:rFonts w:hint="cs"/>
                <w:sz w:val="28"/>
                <w:szCs w:val="28"/>
                <w:rtl/>
              </w:rPr>
            </w:pPr>
            <w:r w:rsidRPr="0019621B">
              <w:rPr>
                <w:rFonts w:cs="MCS Diwany2 S_I normal." w:hint="cs"/>
                <w:b/>
                <w:bCs/>
                <w:sz w:val="32"/>
                <w:szCs w:val="32"/>
                <w:rtl/>
                <w:lang w:bidi="ar-IQ"/>
              </w:rPr>
              <w:t>1427هـ                                     2006م</w:t>
            </w:r>
            <w:r w:rsidRPr="0019621B">
              <w:rPr>
                <w:rFonts w:hint="cs"/>
                <w:sz w:val="28"/>
                <w:szCs w:val="28"/>
                <w:rtl/>
              </w:rPr>
              <w:t xml:space="preserve"> </w:t>
            </w:r>
          </w:p>
          <w:p w:rsidR="00D04314" w:rsidRDefault="00D04314" w:rsidP="00AE02C8">
            <w:pPr>
              <w:pStyle w:val="BodyText3"/>
              <w:rPr>
                <w:rFonts w:hint="cs"/>
                <w:sz w:val="28"/>
                <w:szCs w:val="28"/>
                <w:rtl/>
              </w:rPr>
            </w:pPr>
          </w:p>
          <w:p w:rsidR="00D04314" w:rsidRDefault="00D04314"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4314" w:rsidRDefault="00D04314" w:rsidP="00AE02C8">
            <w:pPr>
              <w:jc w:val="right"/>
              <w:rPr>
                <w:rFonts w:ascii="Tahoma" w:hAnsi="Tahoma" w:cs="Tahoma"/>
                <w:lang w:val="en-US" w:bidi="ar-IQ"/>
              </w:rPr>
            </w:pPr>
            <w:r>
              <w:rPr>
                <w:rFonts w:ascii="Tahoma" w:hAnsi="Tahoma" w:cs="Tahoma"/>
                <w:lang w:val="en-US" w:bidi="ar-IQ"/>
              </w:rPr>
              <w:t>Year</w:t>
            </w:r>
          </w:p>
        </w:tc>
      </w:tr>
      <w:tr w:rsidR="00D04314" w:rsidTr="00AE02C8">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04314" w:rsidRPr="0019621B" w:rsidRDefault="00D04314" w:rsidP="00AE02C8">
            <w:pPr>
              <w:spacing w:line="360" w:lineRule="auto"/>
              <w:ind w:firstLine="507"/>
              <w:jc w:val="lowKashida"/>
              <w:rPr>
                <w:rFonts w:ascii="Times New Roman" w:hAnsi="Times New Roman"/>
                <w:b/>
                <w:bCs/>
                <w:rtl/>
                <w:lang w:bidi="ar-IQ"/>
              </w:rPr>
            </w:pPr>
            <w:r w:rsidRPr="0019621B">
              <w:rPr>
                <w:rFonts w:ascii="Times New Roman" w:hAnsi="Times New Roman"/>
                <w:b/>
                <w:bCs/>
                <w:rtl/>
                <w:lang w:bidi="ar-IQ"/>
              </w:rPr>
              <w:t>تستعرض هذه الرسالة أهم خصائص توزيع باريتو (</w:t>
            </w:r>
            <w:r w:rsidRPr="0019621B">
              <w:rPr>
                <w:rFonts w:ascii="Times New Roman" w:hAnsi="Times New Roman"/>
                <w:b/>
                <w:bCs/>
                <w:lang w:bidi="ar-IQ"/>
              </w:rPr>
              <w:t xml:space="preserve">Pareto </w:t>
            </w:r>
            <w:proofErr w:type="spellStart"/>
            <w:r w:rsidRPr="0019621B">
              <w:rPr>
                <w:rFonts w:ascii="Times New Roman" w:hAnsi="Times New Roman"/>
                <w:b/>
                <w:bCs/>
                <w:lang w:bidi="ar-IQ"/>
              </w:rPr>
              <w:t>distnbution</w:t>
            </w:r>
            <w:proofErr w:type="spellEnd"/>
            <w:r w:rsidRPr="0019621B">
              <w:rPr>
                <w:rFonts w:ascii="Times New Roman" w:hAnsi="Times New Roman"/>
                <w:b/>
                <w:bCs/>
                <w:rtl/>
                <w:lang w:bidi="ar-IQ"/>
              </w:rPr>
              <w:t>) بالمعلمتين (</w:t>
            </w:r>
            <w:r w:rsidRPr="0019621B">
              <w:rPr>
                <w:rFonts w:ascii="Times New Roman" w:hAnsi="Times New Roman"/>
                <w:b/>
                <w:bCs/>
                <w:lang w:bidi="ar-IQ"/>
              </w:rPr>
              <w:t xml:space="preserve">c, </w:t>
            </w:r>
            <w:r w:rsidRPr="0019621B">
              <w:rPr>
                <w:rFonts w:ascii="Times New Roman" w:hAnsi="Times New Roman"/>
                <w:b/>
                <w:bCs/>
                <w:lang w:bidi="ar-IQ"/>
              </w:rPr>
              <w:sym w:font="Symbol" w:char="F061"/>
            </w:r>
            <w:r w:rsidRPr="0019621B">
              <w:rPr>
                <w:rFonts w:ascii="Times New Roman" w:hAnsi="Times New Roman"/>
                <w:b/>
                <w:bCs/>
                <w:rtl/>
                <w:lang w:bidi="ar-IQ"/>
              </w:rPr>
              <w:t xml:space="preserve">) حيث </w:t>
            </w:r>
            <w:r w:rsidRPr="0019621B">
              <w:rPr>
                <w:rFonts w:ascii="Times New Roman" w:hAnsi="Times New Roman"/>
                <w:b/>
                <w:bCs/>
                <w:lang w:bidi="ar-IQ"/>
              </w:rPr>
              <w:sym w:font="Symbol" w:char="F061"/>
            </w:r>
            <w:r w:rsidRPr="0019621B">
              <w:rPr>
                <w:rFonts w:ascii="Times New Roman" w:hAnsi="Times New Roman"/>
                <w:b/>
                <w:bCs/>
                <w:rtl/>
                <w:lang w:bidi="ar-IQ"/>
              </w:rPr>
              <w:t xml:space="preserve"> هي معلمة الشكل (</w:t>
            </w:r>
            <w:r w:rsidRPr="0019621B">
              <w:rPr>
                <w:rFonts w:ascii="Times New Roman" w:hAnsi="Times New Roman"/>
                <w:b/>
                <w:bCs/>
                <w:lang w:bidi="ar-IQ"/>
              </w:rPr>
              <w:t>Shape parameters</w:t>
            </w:r>
            <w:r w:rsidRPr="0019621B">
              <w:rPr>
                <w:rFonts w:ascii="Times New Roman" w:hAnsi="Times New Roman"/>
                <w:b/>
                <w:bCs/>
                <w:rtl/>
                <w:lang w:bidi="ar-IQ"/>
              </w:rPr>
              <w:t xml:space="preserve">) و </w:t>
            </w:r>
            <w:r w:rsidRPr="0019621B">
              <w:rPr>
                <w:rFonts w:ascii="Times New Roman" w:hAnsi="Times New Roman"/>
                <w:b/>
                <w:bCs/>
                <w:lang w:bidi="ar-IQ"/>
              </w:rPr>
              <w:t>c</w:t>
            </w:r>
            <w:r w:rsidRPr="0019621B">
              <w:rPr>
                <w:rFonts w:ascii="Times New Roman" w:hAnsi="Times New Roman"/>
                <w:b/>
                <w:bCs/>
                <w:rtl/>
                <w:lang w:bidi="ar-IQ"/>
              </w:rPr>
              <w:t xml:space="preserve"> هي معلمة القياس (</w:t>
            </w:r>
            <w:r w:rsidRPr="0019621B">
              <w:rPr>
                <w:rFonts w:ascii="Times New Roman" w:hAnsi="Times New Roman"/>
                <w:b/>
                <w:bCs/>
                <w:lang w:bidi="ar-IQ"/>
              </w:rPr>
              <w:t>Scale parameter</w:t>
            </w:r>
            <w:r w:rsidRPr="0019621B">
              <w:rPr>
                <w:rFonts w:ascii="Times New Roman" w:hAnsi="Times New Roman"/>
                <w:b/>
                <w:bCs/>
                <w:rtl/>
                <w:lang w:bidi="ar-IQ"/>
              </w:rPr>
              <w:t>) وعلاقة هذا التوزيع بتوزيعات إحصائية أخرى, حيث تمت البرهنة على بعض هذه الخصائص من قبل الباحث, أما الجانب الأساسي من هذه الرسالة فكان الجانب التجريبي الذي تضمن توظيف أسلوب المحاكاة بطريقة مونت كارلو (</w:t>
            </w:r>
            <w:r w:rsidRPr="0019621B">
              <w:rPr>
                <w:rFonts w:ascii="Times New Roman" w:hAnsi="Times New Roman"/>
                <w:b/>
                <w:bCs/>
                <w:lang w:bidi="ar-IQ"/>
              </w:rPr>
              <w:t>Monte Carlo</w:t>
            </w:r>
            <w:r w:rsidRPr="0019621B">
              <w:rPr>
                <w:rFonts w:ascii="Times New Roman" w:hAnsi="Times New Roman"/>
                <w:b/>
                <w:bCs/>
                <w:rtl/>
                <w:lang w:bidi="ar-IQ"/>
              </w:rPr>
              <w:t>) لمقارنة أسلوب بيز وبعض الطرائق التقليدية لتقدير معلمة الشكل باستخدام المقياسين الاحصائين (</w:t>
            </w:r>
            <w:r w:rsidRPr="0019621B">
              <w:rPr>
                <w:rFonts w:ascii="Times New Roman" w:hAnsi="Times New Roman"/>
                <w:b/>
                <w:bCs/>
                <w:lang w:bidi="ar-IQ"/>
              </w:rPr>
              <w:t>MSE</w:t>
            </w:r>
            <w:r w:rsidRPr="0019621B">
              <w:rPr>
                <w:rFonts w:ascii="Times New Roman" w:hAnsi="Times New Roman"/>
                <w:b/>
                <w:bCs/>
                <w:rtl/>
                <w:lang w:bidi="ar-IQ"/>
              </w:rPr>
              <w:t>) ، (</w:t>
            </w:r>
            <w:r w:rsidRPr="0019621B">
              <w:rPr>
                <w:rFonts w:ascii="Times New Roman" w:hAnsi="Times New Roman"/>
                <w:b/>
                <w:bCs/>
                <w:lang w:bidi="ar-IQ"/>
              </w:rPr>
              <w:t>MAPE</w:t>
            </w:r>
            <w:r w:rsidRPr="0019621B">
              <w:rPr>
                <w:rFonts w:ascii="Times New Roman" w:hAnsi="Times New Roman"/>
                <w:b/>
                <w:bCs/>
                <w:rtl/>
                <w:lang w:bidi="ar-IQ"/>
              </w:rPr>
              <w:t xml:space="preserve">) من أجل المقارنة بين أفضلية مقدرات طرائق التقدير المختلفة ولحجوم العينات (صغيرة, متوسطة, كبيرة) على افتراض أن معلمة القياس هي معلومة إذ يمكن تقديرها بحسب الصيغة </w:t>
            </w:r>
            <w:r w:rsidRPr="0019621B">
              <w:rPr>
                <w:rFonts w:ascii="Times New Roman" w:hAnsi="Times New Roman"/>
                <w:b/>
                <w:bCs/>
                <w:position w:val="-20"/>
                <w:lang w:bidi="ar-IQ"/>
              </w:rPr>
              <w:object w:dxaOrig="9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5.5pt" o:ole="">
                  <v:imagedata r:id="rId4" o:title=""/>
                </v:shape>
                <o:OLEObject Type="Embed" ProgID="Equation.3" ShapeID="_x0000_i1025" DrawAspect="Content" ObjectID="_1429357843" r:id="rId5"/>
              </w:object>
            </w:r>
            <w:r w:rsidRPr="0019621B">
              <w:rPr>
                <w:rFonts w:ascii="Times New Roman" w:hAnsi="Times New Roman"/>
                <w:b/>
                <w:bCs/>
                <w:rtl/>
                <w:lang w:bidi="ar-IQ"/>
              </w:rPr>
              <w:t xml:space="preserve">. </w:t>
            </w:r>
          </w:p>
          <w:p w:rsidR="00D04314" w:rsidRDefault="00D04314" w:rsidP="00AE02C8">
            <w:pPr>
              <w:spacing w:line="360" w:lineRule="auto"/>
              <w:ind w:firstLine="507"/>
              <w:jc w:val="lowKashida"/>
              <w:rPr>
                <w:rFonts w:cs="Arabic Transparent" w:hint="cs"/>
                <w:b/>
                <w:bCs/>
                <w:sz w:val="32"/>
                <w:szCs w:val="32"/>
                <w:rtl/>
                <w:lang w:bidi="ar-IQ"/>
              </w:rPr>
            </w:pPr>
            <w:r w:rsidRPr="0019621B">
              <w:rPr>
                <w:rFonts w:ascii="Times New Roman" w:hAnsi="Times New Roman"/>
                <w:b/>
                <w:bCs/>
                <w:rtl/>
                <w:lang w:bidi="ar-IQ"/>
              </w:rPr>
              <w:t>ولقد توصل الباحث إلى أن أسلوب بيز القياسي هو الاسلوب الأفضل لتقدير معلمة الشكل ولجميع حجوم العينات. ولأجل بلوغ هدف البحث قسمت الرسالة على أربعة فصول تناول الفصل الأول المقدمة وخلفيات الموضوع والهدف في حين كرس الفصل الثاني للتطرق لأهم خصائص توزيع باريتو واستعراض طرائق تقدير معلمة الشكل, أما الفصل الثالث فقد تضمن الجانب التجريبي ونتائج تجارب المحاكاة وتحليل هذه النتائج, وأخير فقد خصص الفصل الرابع للاستنتاجات التي توصل إليها الباحث في هذه الرسالة ومقترحاته لبعض الدراسات المستقبلية التي تخص الموضوع.</w:t>
            </w:r>
            <w:r w:rsidRPr="0054096D">
              <w:rPr>
                <w:rFonts w:cs="Arabic Transparent" w:hint="cs"/>
                <w:b/>
                <w:bCs/>
                <w:sz w:val="32"/>
                <w:szCs w:val="32"/>
                <w:rtl/>
                <w:lang w:bidi="ar-IQ"/>
              </w:rPr>
              <w:t xml:space="preserve">  </w:t>
            </w:r>
          </w:p>
          <w:p w:rsidR="00D04314" w:rsidRPr="007F079D" w:rsidRDefault="00D04314" w:rsidP="00AE02C8">
            <w:pPr>
              <w:jc w:val="lowKashida"/>
              <w:rPr>
                <w:rFonts w:cs="Simplified Arabic" w:hint="cs"/>
                <w:b/>
                <w:bCs/>
                <w:sz w:val="32"/>
                <w:szCs w:val="32"/>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04314" w:rsidRDefault="00D04314" w:rsidP="00AE02C8">
            <w:pPr>
              <w:spacing w:line="360" w:lineRule="auto"/>
              <w:rPr>
                <w:rFonts w:ascii="Tahoma" w:hAnsi="Tahoma" w:cs="Tahoma"/>
                <w:rtl/>
                <w:lang w:val="en-US" w:bidi="ar-IQ"/>
              </w:rPr>
            </w:pPr>
          </w:p>
          <w:p w:rsidR="00D04314" w:rsidRDefault="00D04314" w:rsidP="00AE02C8">
            <w:pPr>
              <w:spacing w:line="360" w:lineRule="auto"/>
              <w:jc w:val="right"/>
              <w:rPr>
                <w:rFonts w:ascii="Tahoma" w:hAnsi="Tahoma" w:cs="Tahoma"/>
                <w:rtl/>
                <w:lang w:val="en-US" w:bidi="ar-IQ"/>
              </w:rPr>
            </w:pPr>
          </w:p>
          <w:p w:rsidR="00D04314" w:rsidRDefault="00D04314"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1" w:usb1="80000000" w:usb2="00000008" w:usb3="00000000" w:csb0="00000040" w:csb1="00000000"/>
  </w:font>
  <w:font w:name="MCS Diwany2 S_I normal.">
    <w:altName w:val="Times New Roman"/>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04314"/>
    <w:rsid w:val="00445C29"/>
    <w:rsid w:val="00D043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04314"/>
    <w:pPr>
      <w:spacing w:after="120"/>
    </w:pPr>
    <w:rPr>
      <w:sz w:val="16"/>
      <w:szCs w:val="16"/>
    </w:rPr>
  </w:style>
  <w:style w:type="character" w:customStyle="1" w:styleId="BodyText3Char">
    <w:name w:val="Body Text 3 Char"/>
    <w:basedOn w:val="DefaultParagraphFont"/>
    <w:link w:val="BodyText3"/>
    <w:rsid w:val="00D04314"/>
    <w:rPr>
      <w:rFonts w:ascii="Cambria" w:eastAsia="Cambria" w:hAnsi="Cambria" w:cs="Times New Roman"/>
      <w:sz w:val="16"/>
      <w:szCs w:val="16"/>
      <w:lang w:val="en-GB"/>
    </w:rPr>
  </w:style>
  <w:style w:type="character" w:customStyle="1" w:styleId="hps">
    <w:name w:val="hps"/>
    <w:basedOn w:val="DefaultParagraphFont"/>
    <w:rsid w:val="00D04314"/>
  </w:style>
  <w:style w:type="character" w:customStyle="1" w:styleId="shorttext">
    <w:name w:val="short_text"/>
    <w:basedOn w:val="DefaultParagraphFont"/>
    <w:rsid w:val="00D04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2013-05-06T12:04:00Z</dcterms:created>
  <dcterms:modified xsi:type="dcterms:W3CDTF">2013-05-06T12:04:00Z</dcterms:modified>
</cp:coreProperties>
</file>