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42CC0"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2CC0" w:rsidRDefault="00C42CC0"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CC0" w:rsidRDefault="00C42CC0" w:rsidP="00AE02C8">
            <w:pPr>
              <w:jc w:val="right"/>
              <w:rPr>
                <w:rFonts w:ascii="Tahoma" w:hAnsi="Tahoma" w:cs="Tahoma"/>
                <w:lang w:val="en-US" w:bidi="ar-IQ"/>
              </w:rPr>
            </w:pPr>
            <w:r>
              <w:rPr>
                <w:rFonts w:ascii="Tahoma" w:hAnsi="Tahoma" w:cs="Tahoma"/>
                <w:lang w:val="en-US" w:bidi="ar-IQ"/>
              </w:rPr>
              <w:t>College  Name</w:t>
            </w:r>
          </w:p>
        </w:tc>
      </w:tr>
      <w:tr w:rsidR="00C42CC0"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2CC0" w:rsidRDefault="00C42CC0"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CC0" w:rsidRDefault="00C42CC0" w:rsidP="00AE02C8">
            <w:pPr>
              <w:jc w:val="right"/>
              <w:rPr>
                <w:rFonts w:ascii="Tahoma" w:hAnsi="Tahoma" w:cs="Tahoma"/>
                <w:lang w:val="en-US" w:bidi="ar-IQ"/>
              </w:rPr>
            </w:pPr>
            <w:r>
              <w:rPr>
                <w:rFonts w:ascii="Tahoma" w:hAnsi="Tahoma" w:cs="Tahoma"/>
                <w:lang w:val="en-US" w:bidi="ar-IQ"/>
              </w:rPr>
              <w:t>Department</w:t>
            </w:r>
          </w:p>
        </w:tc>
      </w:tr>
      <w:tr w:rsidR="00C42CC0"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2CC0" w:rsidRPr="00C26DBC" w:rsidRDefault="00C42CC0" w:rsidP="00AE02C8">
            <w:pPr>
              <w:pStyle w:val="BodyText3"/>
              <w:rPr>
                <w:rFonts w:ascii="Times New Roman" w:hAnsi="Times New Roman"/>
                <w:b/>
                <w:bCs/>
                <w:sz w:val="32"/>
                <w:szCs w:val="32"/>
                <w:lang w:val="en-US" w:bidi="ar-IQ"/>
              </w:rPr>
            </w:pPr>
            <w:r w:rsidRPr="00C26DBC">
              <w:rPr>
                <w:rFonts w:ascii="Times New Roman" w:hAnsi="Times New Roman"/>
                <w:b/>
                <w:bCs/>
                <w:sz w:val="32"/>
                <w:szCs w:val="32"/>
                <w:rtl/>
                <w:lang w:bidi="ar-IQ"/>
              </w:rPr>
              <w:t>عمر عبد المحسن علي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CC0" w:rsidRDefault="00C42CC0" w:rsidP="00AE02C8">
            <w:pPr>
              <w:jc w:val="right"/>
              <w:rPr>
                <w:rFonts w:ascii="Tahoma" w:hAnsi="Tahoma" w:cs="Tahoma"/>
                <w:lang w:val="en-US" w:bidi="ar-IQ"/>
              </w:rPr>
            </w:pPr>
            <w:r>
              <w:rPr>
                <w:rFonts w:ascii="Tahoma" w:hAnsi="Tahoma" w:cs="Tahoma"/>
                <w:lang w:val="en-US" w:bidi="ar-IQ"/>
              </w:rPr>
              <w:t>Full Name as written   in Passport</w:t>
            </w:r>
          </w:p>
        </w:tc>
      </w:tr>
      <w:tr w:rsidR="00C42CC0"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2CC0" w:rsidRDefault="00C42CC0"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CC0" w:rsidRDefault="00C42CC0" w:rsidP="00AE02C8">
            <w:pPr>
              <w:jc w:val="right"/>
              <w:rPr>
                <w:rFonts w:ascii="Tahoma" w:hAnsi="Tahoma" w:cs="Tahoma"/>
                <w:lang w:val="en-US" w:bidi="ar-IQ"/>
              </w:rPr>
            </w:pPr>
            <w:r>
              <w:rPr>
                <w:rFonts w:ascii="Tahoma" w:hAnsi="Tahoma" w:cs="Tahoma"/>
                <w:lang w:val="en-US" w:bidi="ar-IQ"/>
              </w:rPr>
              <w:t>e-mail</w:t>
            </w:r>
          </w:p>
        </w:tc>
      </w:tr>
      <w:tr w:rsidR="00C42CC0"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42CC0" w:rsidRDefault="00C42CC0"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42CC0" w:rsidRDefault="00C42CC0"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42CC0" w:rsidRDefault="00C42CC0"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42CC0" w:rsidRDefault="00C42CC0"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CC0" w:rsidRDefault="00C42CC0" w:rsidP="00AE02C8">
            <w:pPr>
              <w:jc w:val="right"/>
              <w:rPr>
                <w:rFonts w:ascii="Tahoma" w:hAnsi="Tahoma" w:cs="Tahoma"/>
                <w:lang w:val="en-US" w:bidi="ar-IQ"/>
              </w:rPr>
            </w:pPr>
            <w:r>
              <w:rPr>
                <w:rFonts w:ascii="Tahoma" w:hAnsi="Tahoma" w:cs="Tahoma"/>
                <w:lang w:val="en-US" w:bidi="ar-IQ"/>
              </w:rPr>
              <w:t xml:space="preserve">Career </w:t>
            </w:r>
          </w:p>
        </w:tc>
      </w:tr>
      <w:tr w:rsidR="00C42CC0"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42CC0" w:rsidRDefault="00C42CC0" w:rsidP="00AE02C8">
            <w:pPr>
              <w:jc w:val="right"/>
              <w:rPr>
                <w:lang w:val="en-US" w:bidi="ar-IQ"/>
              </w:rPr>
            </w:pPr>
            <w:r>
              <w:rPr>
                <w:rtl/>
              </w:rPr>
              <w:pict>
                <v:oval id="_x0000_s1031" style="position:absolute;margin-left:3.6pt;margin-top:5.35pt;width:12.05pt;height:9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42CC0" w:rsidRDefault="00C42CC0" w:rsidP="00AE02C8">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CC0" w:rsidRDefault="00C42CC0" w:rsidP="00AE02C8">
            <w:pPr>
              <w:jc w:val="right"/>
              <w:rPr>
                <w:rFonts w:ascii="Tahoma" w:hAnsi="Tahoma" w:cs="Tahoma"/>
                <w:lang w:val="en-US" w:bidi="ar-IQ"/>
              </w:rPr>
            </w:pPr>
          </w:p>
        </w:tc>
      </w:tr>
      <w:tr w:rsidR="00C42CC0" w:rsidTr="00AE02C8">
        <w:trPr>
          <w:trHeight w:hRule="exact" w:val="8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2CC0" w:rsidRPr="00C26DBC" w:rsidRDefault="00C42CC0" w:rsidP="00AE02C8">
            <w:pPr>
              <w:jc w:val="center"/>
              <w:rPr>
                <w:rFonts w:ascii="Times New Roman" w:hAnsi="Times New Roman"/>
                <w:b/>
                <w:bCs/>
                <w:sz w:val="32"/>
                <w:szCs w:val="32"/>
                <w:rtl/>
                <w:lang w:bidi="ar-IQ"/>
              </w:rPr>
            </w:pPr>
            <w:r w:rsidRPr="00C26DBC">
              <w:rPr>
                <w:rFonts w:ascii="Times New Roman" w:hAnsi="Times New Roman"/>
                <w:b/>
                <w:bCs/>
                <w:sz w:val="32"/>
                <w:szCs w:val="32"/>
                <w:rtl/>
                <w:lang w:bidi="ar-IQ"/>
              </w:rPr>
              <w:t>مقارنة مقدّرات النماذج التجميعية المعمّمة</w:t>
            </w:r>
          </w:p>
          <w:p w:rsidR="00C42CC0" w:rsidRPr="003F3095" w:rsidRDefault="00C42CC0" w:rsidP="00AE02C8">
            <w:pPr>
              <w:jc w:val="center"/>
              <w:rPr>
                <w:rFonts w:cs="Simplified Arabic"/>
                <w:b/>
                <w:bCs/>
                <w:sz w:val="56"/>
                <w:szCs w:val="56"/>
                <w:lang w:bidi="ar-IQ"/>
              </w:rPr>
            </w:pPr>
            <w:r w:rsidRPr="00C26DBC">
              <w:rPr>
                <w:rFonts w:ascii="Times New Roman" w:hAnsi="Times New Roman"/>
                <w:b/>
                <w:bCs/>
                <w:sz w:val="32"/>
                <w:szCs w:val="32"/>
                <w:rtl/>
                <w:lang w:bidi="ar-IQ"/>
              </w:rPr>
              <w:t>بإستخدام الشرائح التمهيدية عند تحليل الإنحدار اللامعلمي وشبه المعلمي</w:t>
            </w:r>
          </w:p>
          <w:p w:rsidR="00C42CC0" w:rsidRPr="003F3095" w:rsidRDefault="00C42CC0" w:rsidP="00AE02C8">
            <w:pPr>
              <w:jc w:val="center"/>
              <w:rPr>
                <w:rFonts w:cs="Simplified Arabic"/>
                <w:b/>
                <w:bCs/>
                <w:sz w:val="52"/>
                <w:szCs w:val="52"/>
                <w:lang w:bidi="ar-IQ"/>
              </w:rPr>
            </w:pPr>
          </w:p>
          <w:p w:rsidR="00C42CC0" w:rsidRPr="00C26DBC" w:rsidRDefault="00C42CC0" w:rsidP="00AE02C8">
            <w:pPr>
              <w:jc w:val="center"/>
              <w:rPr>
                <w:rFonts w:hint="cs"/>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CC0" w:rsidRDefault="00C42CC0" w:rsidP="00AE02C8">
            <w:pPr>
              <w:jc w:val="right"/>
              <w:rPr>
                <w:rFonts w:ascii="Tahoma" w:hAnsi="Tahoma" w:cs="Tahoma"/>
                <w:lang w:val="en-US" w:bidi="ar-IQ"/>
              </w:rPr>
            </w:pPr>
            <w:r>
              <w:rPr>
                <w:rFonts w:ascii="Tahoma" w:hAnsi="Tahoma" w:cs="Tahoma"/>
                <w:lang w:val="en-US" w:bidi="ar-IQ"/>
              </w:rPr>
              <w:t xml:space="preserve">Thesis  Title </w:t>
            </w:r>
          </w:p>
        </w:tc>
      </w:tr>
      <w:tr w:rsidR="00C42CC0" w:rsidTr="00AE02C8">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2CC0" w:rsidRPr="00BF0751" w:rsidRDefault="00C42CC0" w:rsidP="00AE02C8">
            <w:pPr>
              <w:tabs>
                <w:tab w:val="left" w:pos="1005"/>
              </w:tabs>
              <w:jc w:val="center"/>
              <w:rPr>
                <w:rFonts w:cs="Simplified Arabic" w:hint="cs"/>
                <w:b/>
                <w:bCs/>
                <w:sz w:val="28"/>
                <w:szCs w:val="28"/>
                <w:rtl/>
                <w:lang w:bidi="ar-IQ"/>
              </w:rPr>
            </w:pPr>
            <w:r w:rsidRPr="007F079D">
              <w:rPr>
                <w:rFonts w:cs="Simplified Arabic" w:hint="cs"/>
                <w:sz w:val="32"/>
                <w:szCs w:val="32"/>
                <w:rtl/>
              </w:rPr>
              <w:t xml:space="preserve">   </w:t>
            </w:r>
            <w:r>
              <w:rPr>
                <w:rFonts w:cs="Simplified Arabic"/>
                <w:b/>
                <w:bCs/>
                <w:sz w:val="28"/>
                <w:szCs w:val="28"/>
                <w:lang w:bidi="ar-IQ"/>
              </w:rPr>
              <w:t>1428</w:t>
            </w:r>
            <w:r>
              <w:rPr>
                <w:rFonts w:cs="Simplified Arabic" w:hint="cs"/>
                <w:b/>
                <w:bCs/>
                <w:sz w:val="28"/>
                <w:szCs w:val="28"/>
                <w:rtl/>
                <w:lang w:bidi="ar-IQ"/>
              </w:rPr>
              <w:t xml:space="preserve"> </w:t>
            </w:r>
            <w:r>
              <w:rPr>
                <w:b/>
                <w:bCs/>
                <w:sz w:val="28"/>
                <w:szCs w:val="28"/>
                <w:rtl/>
                <w:lang w:bidi="ar-IQ"/>
              </w:rPr>
              <w:t>ھ</w:t>
            </w:r>
            <w:r>
              <w:rPr>
                <w:rFonts w:cs="Simplified Arabic" w:hint="cs"/>
                <w:b/>
                <w:bCs/>
                <w:sz w:val="28"/>
                <w:szCs w:val="28"/>
                <w:rtl/>
                <w:lang w:bidi="ar-IQ"/>
              </w:rPr>
              <w:t xml:space="preserve">   </w:t>
            </w:r>
            <w:r>
              <w:rPr>
                <w:rFonts w:cs="Simplified Arabic"/>
                <w:b/>
                <w:bCs/>
                <w:sz w:val="28"/>
                <w:szCs w:val="28"/>
                <w:lang w:bidi="ar-IQ"/>
              </w:rPr>
              <w:t xml:space="preserve">                                                        </w:t>
            </w:r>
            <w:r>
              <w:rPr>
                <w:rFonts w:cs="Simplified Arabic" w:hint="cs"/>
                <w:b/>
                <w:bCs/>
                <w:sz w:val="28"/>
                <w:szCs w:val="28"/>
                <w:rtl/>
                <w:lang w:bidi="ar-IQ"/>
              </w:rPr>
              <w:t xml:space="preserve">  </w:t>
            </w:r>
            <w:r>
              <w:rPr>
                <w:rFonts w:cs="Simplified Arabic"/>
                <w:b/>
                <w:bCs/>
                <w:sz w:val="28"/>
                <w:szCs w:val="28"/>
                <w:lang w:bidi="ar-IQ"/>
              </w:rPr>
              <w:t>2007</w:t>
            </w:r>
            <w:r>
              <w:rPr>
                <w:rFonts w:cs="Simplified Arabic" w:hint="cs"/>
                <w:b/>
                <w:bCs/>
                <w:sz w:val="28"/>
                <w:szCs w:val="28"/>
                <w:rtl/>
                <w:lang w:bidi="ar-IQ"/>
              </w:rPr>
              <w:t xml:space="preserve"> م</w:t>
            </w:r>
          </w:p>
          <w:p w:rsidR="00C42CC0" w:rsidRPr="007F079D" w:rsidRDefault="00C42CC0" w:rsidP="00AE02C8">
            <w:pPr>
              <w:jc w:val="center"/>
              <w:rPr>
                <w:rFonts w:cs="Simplified Arabic" w:hint="cs"/>
                <w:sz w:val="32"/>
                <w:szCs w:val="32"/>
                <w:rtl/>
                <w:lang w:bidi="ar-IQ"/>
              </w:rPr>
            </w:pPr>
            <w:r w:rsidRPr="007F079D">
              <w:rPr>
                <w:rFonts w:cs="Simplified Arabic" w:hint="cs"/>
                <w:sz w:val="32"/>
                <w:szCs w:val="32"/>
                <w:rtl/>
              </w:rPr>
              <w:t xml:space="preserve">                         </w:t>
            </w:r>
          </w:p>
          <w:p w:rsidR="00C42CC0" w:rsidRDefault="00C42CC0" w:rsidP="00AE02C8">
            <w:pPr>
              <w:pStyle w:val="BodyText3"/>
              <w:rPr>
                <w:rFonts w:hint="cs"/>
                <w:sz w:val="28"/>
                <w:szCs w:val="28"/>
                <w:rtl/>
              </w:rPr>
            </w:pPr>
          </w:p>
          <w:p w:rsidR="00C42CC0" w:rsidRDefault="00C42CC0"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CC0" w:rsidRDefault="00C42CC0" w:rsidP="00AE02C8">
            <w:pPr>
              <w:jc w:val="right"/>
              <w:rPr>
                <w:rFonts w:ascii="Tahoma" w:hAnsi="Tahoma" w:cs="Tahoma"/>
                <w:lang w:val="en-US" w:bidi="ar-IQ"/>
              </w:rPr>
            </w:pPr>
            <w:r>
              <w:rPr>
                <w:rFonts w:ascii="Tahoma" w:hAnsi="Tahoma" w:cs="Tahoma"/>
                <w:lang w:val="en-US" w:bidi="ar-IQ"/>
              </w:rPr>
              <w:t>Year</w:t>
            </w:r>
          </w:p>
        </w:tc>
      </w:tr>
      <w:tr w:rsidR="00C42CC0" w:rsidTr="00AE02C8">
        <w:trPr>
          <w:trHeight w:val="599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42CC0" w:rsidRPr="00C26DBC" w:rsidRDefault="00C42CC0" w:rsidP="00AE02C8">
            <w:pPr>
              <w:jc w:val="both"/>
              <w:rPr>
                <w:rFonts w:ascii="Times New Roman" w:hAnsi="Times New Roman"/>
                <w:b/>
                <w:bCs/>
                <w:sz w:val="22"/>
                <w:szCs w:val="22"/>
                <w:rtl/>
                <w:lang w:bidi="ar-IQ"/>
              </w:rPr>
            </w:pPr>
            <w:r w:rsidRPr="00C26DBC">
              <w:rPr>
                <w:rFonts w:ascii="Times New Roman" w:hAnsi="Times New Roman"/>
                <w:b/>
                <w:bCs/>
                <w:sz w:val="22"/>
                <w:szCs w:val="22"/>
                <w:rtl/>
                <w:lang w:bidi="ar-IQ"/>
              </w:rPr>
              <w:t>شهدت طرائق الإنحدار اللامعلمي توسعاً واضحاً في السنوات الأخيرة كان سببه الرئيس توصل الباحثين الى قناعة مفادها: صعوبة مواكبة التفكير المعلمي الصرف المستعمل في تقدير الإنحدارللمرونة المتوخاة عند تحليل البيانات، والتعقيد والتوسع الحاصل في تلك البيانات، سواء كميتها أو نوعيتها. إلاّ إن التطور الحاصل في الحواسيب الألكترونية من الناحيتين المادية والبرمجية، جعل من الممكن تطوير العديد من طرائق الإنحدار اللامعلمي أهمها طرائق التمهيد. وعلى الرغم من ذلك ، فقد ركزت معظم البحوث على حالة أحادي المتغيرات لأنها ممهد واحد بمتغير توضيحي واحد. وظل الإتجاه نحو كتابة بحوث تعالج مسائل التمهيد في حالة ثنائي المتغيرات - أو حتى تعميمها الى متعدد المتغيرات – محدودة - بل معدومة في أنحاء القطر العراقي على حد علم الباحث - ، مما أعطى أهمية خاصة لهدف البحث هو تسليط الضوء على أفكار لطرائق بديلة أو محورة تكون كفوءة لتحسين الطرائق</w:t>
            </w:r>
            <w:r w:rsidRPr="00C26DBC">
              <w:rPr>
                <w:rFonts w:ascii="Times New Roman" w:hAnsi="Times New Roman"/>
                <w:b/>
                <w:bCs/>
                <w:sz w:val="22"/>
                <w:szCs w:val="22"/>
                <w:lang w:bidi="ar-IQ"/>
              </w:rPr>
              <w:t xml:space="preserve"> </w:t>
            </w:r>
            <w:r w:rsidRPr="00C26DBC">
              <w:rPr>
                <w:rFonts w:ascii="Times New Roman" w:hAnsi="Times New Roman"/>
                <w:b/>
                <w:bCs/>
                <w:sz w:val="22"/>
                <w:szCs w:val="22"/>
                <w:rtl/>
                <w:lang w:bidi="ar-IQ"/>
              </w:rPr>
              <w:t>المتداولة حالياً.</w:t>
            </w:r>
          </w:p>
          <w:p w:rsidR="00C42CC0" w:rsidRPr="00C26DBC" w:rsidRDefault="00C42CC0" w:rsidP="00AE02C8">
            <w:pPr>
              <w:jc w:val="both"/>
              <w:rPr>
                <w:rFonts w:ascii="Times New Roman" w:hAnsi="Times New Roman"/>
                <w:b/>
                <w:bCs/>
                <w:sz w:val="22"/>
                <w:szCs w:val="22"/>
                <w:rtl/>
                <w:lang w:bidi="ar-IQ"/>
              </w:rPr>
            </w:pPr>
            <w:r w:rsidRPr="00C26DBC">
              <w:rPr>
                <w:rFonts w:ascii="Times New Roman" w:hAnsi="Times New Roman"/>
                <w:b/>
                <w:bCs/>
                <w:sz w:val="22"/>
                <w:szCs w:val="22"/>
                <w:rtl/>
                <w:lang w:bidi="ar-IQ"/>
              </w:rPr>
              <w:t xml:space="preserve">كما إن إحدى أبرز أهداف البحث المهمة تتركز في إمكانية إستعمال تقدير </w:t>
            </w:r>
            <w:r w:rsidRPr="00C26DBC">
              <w:rPr>
                <w:rFonts w:ascii="Times New Roman" w:hAnsi="Times New Roman"/>
                <w:b/>
                <w:bCs/>
                <w:sz w:val="22"/>
                <w:szCs w:val="22"/>
                <w:lang w:bidi="ar-IQ"/>
              </w:rPr>
              <w:t>GAM</w:t>
            </w:r>
            <w:r w:rsidRPr="00C26DBC">
              <w:rPr>
                <w:rFonts w:ascii="Times New Roman" w:hAnsi="Times New Roman"/>
                <w:b/>
                <w:bCs/>
                <w:sz w:val="22"/>
                <w:szCs w:val="22"/>
                <w:rtl/>
                <w:lang w:bidi="ar-IQ"/>
              </w:rPr>
              <w:t xml:space="preserve"> – والذي يعبر عن الظاهرة بشكل تجميعي لمركباتها الرئيسة للتغلب على مشكلة </w:t>
            </w:r>
            <w:proofErr w:type="spellStart"/>
            <w:r w:rsidRPr="00C26DBC">
              <w:rPr>
                <w:rFonts w:ascii="Times New Roman" w:hAnsi="Times New Roman"/>
                <w:b/>
                <w:bCs/>
                <w:sz w:val="22"/>
                <w:szCs w:val="22"/>
                <w:lang w:bidi="ar-IQ"/>
              </w:rPr>
              <w:t>concurvity</w:t>
            </w:r>
            <w:proofErr w:type="spellEnd"/>
            <w:r w:rsidRPr="00C26DBC">
              <w:rPr>
                <w:rFonts w:ascii="Times New Roman" w:hAnsi="Times New Roman"/>
                <w:b/>
                <w:bCs/>
                <w:sz w:val="22"/>
                <w:szCs w:val="22"/>
                <w:rtl/>
                <w:lang w:bidi="ar-IQ"/>
              </w:rPr>
              <w:t xml:space="preserve"> – في التحليل شبه المعلمي بالإضافة على التحليل اللامعلمي .ومن أهداف البحث الأخرى، إقتراح تقدير </w:t>
            </w:r>
            <w:r w:rsidRPr="00C26DBC">
              <w:rPr>
                <w:rFonts w:ascii="Times New Roman" w:hAnsi="Times New Roman"/>
                <w:b/>
                <w:bCs/>
                <w:sz w:val="22"/>
                <w:szCs w:val="22"/>
                <w:lang w:bidi="ar-IQ"/>
              </w:rPr>
              <w:t>GAM</w:t>
            </w:r>
            <w:r w:rsidRPr="00C26DBC">
              <w:rPr>
                <w:rFonts w:ascii="Times New Roman" w:hAnsi="Times New Roman"/>
                <w:b/>
                <w:bCs/>
                <w:sz w:val="22"/>
                <w:szCs w:val="22"/>
                <w:rtl/>
                <w:lang w:bidi="ar-IQ"/>
              </w:rPr>
              <w:t xml:space="preserve"> بالإنحدار الحصين عبر دالة وزن معينة سواء للتحليل اللامعلمي أو شبه المعلمي في حالة وجود تلويث في البيانات. وكذلك إقتراح أسلوب </w:t>
            </w:r>
            <w:r w:rsidRPr="00C26DBC">
              <w:rPr>
                <w:rFonts w:ascii="Times New Roman" w:hAnsi="Times New Roman"/>
                <w:b/>
                <w:bCs/>
                <w:sz w:val="22"/>
                <w:szCs w:val="22"/>
                <w:lang w:bidi="ar-IQ"/>
              </w:rPr>
              <w:t>MGCV</w:t>
            </w:r>
            <w:r w:rsidRPr="00C26DBC">
              <w:rPr>
                <w:rFonts w:ascii="Times New Roman" w:hAnsi="Times New Roman"/>
                <w:b/>
                <w:bCs/>
                <w:sz w:val="22"/>
                <w:szCs w:val="22"/>
                <w:rtl/>
                <w:lang w:bidi="ar-IQ"/>
              </w:rPr>
              <w:t xml:space="preserve"> الآلي لإيجاد المعلمات التمهيدية دفعة واحدة ضمن تقدير </w:t>
            </w:r>
            <w:r w:rsidRPr="00C26DBC">
              <w:rPr>
                <w:rFonts w:ascii="Times New Roman" w:hAnsi="Times New Roman"/>
                <w:b/>
                <w:bCs/>
                <w:sz w:val="22"/>
                <w:szCs w:val="22"/>
                <w:lang w:bidi="ar-IQ"/>
              </w:rPr>
              <w:t>GAM</w:t>
            </w:r>
            <w:r w:rsidRPr="00C26DBC">
              <w:rPr>
                <w:rFonts w:ascii="Times New Roman" w:hAnsi="Times New Roman"/>
                <w:b/>
                <w:bCs/>
                <w:sz w:val="22"/>
                <w:szCs w:val="22"/>
                <w:rtl/>
                <w:lang w:bidi="ar-IQ"/>
              </w:rPr>
              <w:t xml:space="preserve"> اللامعلمي. وإقتراح إستعمال الأسلوب الشخصي المسبق للمعلمة التمهيدية في تقدير </w:t>
            </w:r>
            <w:r w:rsidRPr="00C26DBC">
              <w:rPr>
                <w:rFonts w:ascii="Times New Roman" w:hAnsi="Times New Roman"/>
                <w:b/>
                <w:bCs/>
                <w:sz w:val="22"/>
                <w:szCs w:val="22"/>
                <w:lang w:bidi="ar-IQ"/>
              </w:rPr>
              <w:t>GAM</w:t>
            </w:r>
            <w:r w:rsidRPr="00C26DBC">
              <w:rPr>
                <w:rFonts w:ascii="Times New Roman" w:hAnsi="Times New Roman"/>
                <w:b/>
                <w:bCs/>
                <w:sz w:val="22"/>
                <w:szCs w:val="22"/>
                <w:rtl/>
                <w:lang w:bidi="ar-IQ"/>
              </w:rPr>
              <w:t xml:space="preserve"> شبه المعلمي. هذا فضلاً عن تقديم معيار </w:t>
            </w:r>
            <w:r w:rsidRPr="00C26DBC">
              <w:rPr>
                <w:rFonts w:ascii="Times New Roman" w:hAnsi="Times New Roman"/>
                <w:b/>
                <w:bCs/>
                <w:sz w:val="22"/>
                <w:szCs w:val="22"/>
                <w:lang w:bidi="ar-IQ"/>
              </w:rPr>
              <w:t>GCV</w:t>
            </w:r>
            <w:r w:rsidRPr="00C26DBC">
              <w:rPr>
                <w:rFonts w:ascii="Times New Roman" w:hAnsi="Times New Roman"/>
                <w:b/>
                <w:bCs/>
                <w:sz w:val="22"/>
                <w:szCs w:val="22"/>
                <w:rtl/>
                <w:lang w:bidi="ar-IQ"/>
              </w:rPr>
              <w:t xml:space="preserve"> معدّل لإستعماله في المقارنة والذي يتميز بإنخفاض التحيز الحاصل معه قياساً بمتوسط مربعات الخطأ </w:t>
            </w:r>
            <w:r w:rsidRPr="00C26DBC">
              <w:rPr>
                <w:rFonts w:ascii="Times New Roman" w:hAnsi="Times New Roman"/>
                <w:b/>
                <w:bCs/>
                <w:sz w:val="22"/>
                <w:szCs w:val="22"/>
                <w:lang w:bidi="ar-IQ"/>
              </w:rPr>
              <w:t>MSE</w:t>
            </w:r>
            <w:r w:rsidRPr="00C26DBC">
              <w:rPr>
                <w:rFonts w:ascii="Times New Roman" w:hAnsi="Times New Roman"/>
                <w:b/>
                <w:bCs/>
                <w:sz w:val="22"/>
                <w:szCs w:val="22"/>
                <w:rtl/>
                <w:lang w:bidi="ar-IQ"/>
              </w:rPr>
              <w:t>.</w:t>
            </w:r>
          </w:p>
          <w:p w:rsidR="00C42CC0" w:rsidRPr="00C26DBC" w:rsidRDefault="00C42CC0" w:rsidP="00AE02C8">
            <w:pPr>
              <w:jc w:val="both"/>
              <w:rPr>
                <w:rFonts w:ascii="Times New Roman" w:hAnsi="Times New Roman"/>
                <w:b/>
                <w:bCs/>
                <w:sz w:val="22"/>
                <w:szCs w:val="22"/>
                <w:rtl/>
                <w:lang w:bidi="ar-IQ"/>
              </w:rPr>
            </w:pPr>
            <w:r w:rsidRPr="00C26DBC">
              <w:rPr>
                <w:rFonts w:ascii="Times New Roman" w:hAnsi="Times New Roman"/>
                <w:b/>
                <w:bCs/>
                <w:sz w:val="22"/>
                <w:szCs w:val="22"/>
                <w:rtl/>
                <w:lang w:bidi="ar-IQ"/>
              </w:rPr>
              <w:t>وتم إنجاز العمل برمته بإستعمال ممهدات الشرائح التمهيدية. وتم صياغة تجارب المحاكاة للنماذج المستعملة والتحقق من أداء الطرائق بإستعمال معايير عدة.</w:t>
            </w:r>
          </w:p>
          <w:p w:rsidR="00C42CC0" w:rsidRPr="00C26DBC" w:rsidRDefault="00C42CC0" w:rsidP="00AE02C8">
            <w:pPr>
              <w:jc w:val="both"/>
              <w:rPr>
                <w:rFonts w:ascii="Times New Roman" w:hAnsi="Times New Roman"/>
                <w:b/>
                <w:bCs/>
                <w:sz w:val="22"/>
                <w:szCs w:val="22"/>
                <w:rtl/>
                <w:lang w:bidi="ar-IQ"/>
              </w:rPr>
            </w:pPr>
            <w:r w:rsidRPr="00C26DBC">
              <w:rPr>
                <w:rFonts w:ascii="Times New Roman" w:hAnsi="Times New Roman"/>
                <w:b/>
                <w:bCs/>
                <w:sz w:val="22"/>
                <w:szCs w:val="22"/>
                <w:rtl/>
                <w:lang w:bidi="ar-IQ"/>
              </w:rPr>
              <w:t xml:space="preserve">وكانت أهم الإستنتاجات، أن إستعمال الشرائح التمهيدية بشكل جزئي </w:t>
            </w:r>
            <w:r w:rsidRPr="00C26DBC">
              <w:rPr>
                <w:rFonts w:ascii="Times New Roman" w:hAnsi="Times New Roman"/>
                <w:b/>
                <w:bCs/>
                <w:sz w:val="22"/>
                <w:szCs w:val="22"/>
                <w:lang w:bidi="ar-IQ"/>
              </w:rPr>
              <w:t>Partially</w:t>
            </w:r>
            <w:r w:rsidRPr="00C26DBC">
              <w:rPr>
                <w:rFonts w:ascii="Times New Roman" w:hAnsi="Times New Roman"/>
                <w:b/>
                <w:bCs/>
                <w:sz w:val="22"/>
                <w:szCs w:val="22"/>
                <w:rtl/>
                <w:lang w:bidi="ar-IQ"/>
              </w:rPr>
              <w:t xml:space="preserve"> (شبه معلمي)، أفضل من إستعمالها بشكل تام </w:t>
            </w:r>
            <w:r w:rsidRPr="00C26DBC">
              <w:rPr>
                <w:rFonts w:ascii="Times New Roman" w:hAnsi="Times New Roman"/>
                <w:b/>
                <w:bCs/>
                <w:sz w:val="22"/>
                <w:szCs w:val="22"/>
                <w:lang w:bidi="ar-IQ"/>
              </w:rPr>
              <w:t>Completely</w:t>
            </w:r>
            <w:r w:rsidRPr="00C26DBC">
              <w:rPr>
                <w:rFonts w:ascii="Times New Roman" w:hAnsi="Times New Roman"/>
                <w:b/>
                <w:bCs/>
                <w:sz w:val="22"/>
                <w:szCs w:val="22"/>
                <w:rtl/>
                <w:lang w:bidi="ar-IQ"/>
              </w:rPr>
              <w:t xml:space="preserve"> (لامعلمي)، عند تحليل </w:t>
            </w:r>
            <w:r w:rsidRPr="00C26DBC">
              <w:rPr>
                <w:rFonts w:ascii="Times New Roman" w:hAnsi="Times New Roman"/>
                <w:b/>
                <w:bCs/>
                <w:sz w:val="22"/>
                <w:szCs w:val="22"/>
                <w:lang w:bidi="ar-IQ"/>
              </w:rPr>
              <w:t>GAM</w:t>
            </w:r>
            <w:r w:rsidRPr="00C26DBC">
              <w:rPr>
                <w:rFonts w:ascii="Times New Roman" w:hAnsi="Times New Roman"/>
                <w:b/>
                <w:bCs/>
                <w:sz w:val="22"/>
                <w:szCs w:val="22"/>
                <w:rtl/>
                <w:lang w:bidi="ar-IQ"/>
              </w:rPr>
              <w:t>.</w:t>
            </w:r>
          </w:p>
          <w:p w:rsidR="00C42CC0" w:rsidRPr="00C26DBC" w:rsidRDefault="00C42CC0" w:rsidP="00AE02C8">
            <w:pPr>
              <w:jc w:val="both"/>
              <w:rPr>
                <w:rFonts w:ascii="Times New Roman" w:hAnsi="Times New Roman" w:hint="cs"/>
                <w:b/>
                <w:bCs/>
                <w:sz w:val="22"/>
                <w:szCs w:val="22"/>
                <w:rtl/>
                <w:lang w:bidi="ar-IQ"/>
              </w:rPr>
            </w:pPr>
            <w:r w:rsidRPr="00C26DBC">
              <w:rPr>
                <w:rFonts w:ascii="Times New Roman" w:hAnsi="Times New Roman"/>
                <w:b/>
                <w:bCs/>
                <w:sz w:val="22"/>
                <w:szCs w:val="22"/>
                <w:rtl/>
                <w:lang w:bidi="ar-IQ"/>
              </w:rPr>
              <w:t xml:space="preserve">ولتحقيق أهداف البحث فقد تم تقسيمه الى أربعة فصول. تضمن الفصل الأول، المقدمة وهدف البحث مع إستعراض مرجعي. أما الفصل الثاني، فقد تناول الجانب النظري من البحث وبشكل خاص تطور نماذج </w:t>
            </w:r>
            <w:r w:rsidRPr="00C26DBC">
              <w:rPr>
                <w:rFonts w:ascii="Times New Roman" w:hAnsi="Times New Roman"/>
                <w:b/>
                <w:bCs/>
                <w:sz w:val="22"/>
                <w:szCs w:val="22"/>
                <w:lang w:bidi="ar-IQ"/>
              </w:rPr>
              <w:t>GLIM</w:t>
            </w:r>
            <w:r w:rsidRPr="00C26DBC">
              <w:rPr>
                <w:rFonts w:ascii="Times New Roman" w:hAnsi="Times New Roman"/>
                <w:b/>
                <w:bCs/>
                <w:sz w:val="22"/>
                <w:szCs w:val="22"/>
                <w:rtl/>
                <w:lang w:bidi="ar-IQ"/>
              </w:rPr>
              <w:t xml:space="preserve"> الى </w:t>
            </w:r>
            <w:r w:rsidRPr="00C26DBC">
              <w:rPr>
                <w:rFonts w:ascii="Times New Roman" w:hAnsi="Times New Roman"/>
                <w:b/>
                <w:bCs/>
                <w:sz w:val="22"/>
                <w:szCs w:val="22"/>
                <w:lang w:bidi="ar-IQ"/>
              </w:rPr>
              <w:t>GAM</w:t>
            </w:r>
            <w:r w:rsidRPr="00C26DBC">
              <w:rPr>
                <w:rFonts w:ascii="Times New Roman" w:hAnsi="Times New Roman"/>
                <w:b/>
                <w:bCs/>
                <w:sz w:val="22"/>
                <w:szCs w:val="22"/>
                <w:rtl/>
                <w:lang w:bidi="ar-IQ"/>
              </w:rPr>
              <w:t xml:space="preserve"> وعرض أسلوب </w:t>
            </w:r>
            <w:proofErr w:type="spellStart"/>
            <w:r w:rsidRPr="00C26DBC">
              <w:rPr>
                <w:rFonts w:ascii="Times New Roman" w:hAnsi="Times New Roman"/>
                <w:b/>
                <w:bCs/>
                <w:sz w:val="22"/>
                <w:szCs w:val="22"/>
                <w:lang w:bidi="ar-IQ"/>
              </w:rPr>
              <w:t>Backfitting</w:t>
            </w:r>
            <w:proofErr w:type="spellEnd"/>
            <w:r w:rsidRPr="00C26DBC">
              <w:rPr>
                <w:rFonts w:ascii="Times New Roman" w:hAnsi="Times New Roman"/>
                <w:b/>
                <w:bCs/>
                <w:sz w:val="22"/>
                <w:szCs w:val="22"/>
                <w:rtl/>
                <w:lang w:bidi="ar-IQ"/>
              </w:rPr>
              <w:t xml:space="preserve"> ، وكذلك عرضاً آخر لبعض الأساليب المقترحة سواء للتحليل اللامعلمي أو شبه المعلمي. في حين خصص الفصل الثالث ، للجانب التجريبي. وأخيراً، تناول الفصل الرابع، الإستنتاجات والتوصيات التي رشحت عن البحث، فضلاً عن بعض الرؤى لدراسات مستقبلية.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42CC0" w:rsidRDefault="00C42CC0" w:rsidP="00AE02C8">
            <w:pPr>
              <w:spacing w:line="360" w:lineRule="auto"/>
              <w:rPr>
                <w:rFonts w:ascii="Tahoma" w:hAnsi="Tahoma" w:cs="Tahoma"/>
                <w:rtl/>
                <w:lang w:val="en-US" w:bidi="ar-IQ"/>
              </w:rPr>
            </w:pPr>
          </w:p>
          <w:p w:rsidR="00C42CC0" w:rsidRDefault="00C42CC0" w:rsidP="00AE02C8">
            <w:pPr>
              <w:spacing w:line="360" w:lineRule="auto"/>
              <w:jc w:val="right"/>
              <w:rPr>
                <w:rFonts w:ascii="Tahoma" w:hAnsi="Tahoma" w:cs="Tahoma"/>
                <w:rtl/>
                <w:lang w:val="en-US" w:bidi="ar-IQ"/>
              </w:rPr>
            </w:pPr>
          </w:p>
          <w:p w:rsidR="00C42CC0" w:rsidRDefault="00C42CC0"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42CC0"/>
    <w:rsid w:val="00445C29"/>
    <w:rsid w:val="00C42C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C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42CC0"/>
    <w:pPr>
      <w:spacing w:after="120"/>
    </w:pPr>
    <w:rPr>
      <w:sz w:val="16"/>
      <w:szCs w:val="16"/>
    </w:rPr>
  </w:style>
  <w:style w:type="character" w:customStyle="1" w:styleId="BodyText3Char">
    <w:name w:val="Body Text 3 Char"/>
    <w:basedOn w:val="DefaultParagraphFont"/>
    <w:link w:val="BodyText3"/>
    <w:rsid w:val="00C42CC0"/>
    <w:rPr>
      <w:rFonts w:ascii="Cambria" w:eastAsia="Cambria" w:hAnsi="Cambria" w:cs="Times New Roman"/>
      <w:sz w:val="16"/>
      <w:szCs w:val="16"/>
      <w:lang w:val="en-GB"/>
    </w:rPr>
  </w:style>
  <w:style w:type="character" w:customStyle="1" w:styleId="hps">
    <w:name w:val="hps"/>
    <w:basedOn w:val="DefaultParagraphFont"/>
    <w:rsid w:val="00C42CC0"/>
  </w:style>
  <w:style w:type="character" w:customStyle="1" w:styleId="shorttext">
    <w:name w:val="short_text"/>
    <w:basedOn w:val="DefaultParagraphFont"/>
    <w:rsid w:val="00C42C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2013-05-06T12:46:00Z</dcterms:created>
  <dcterms:modified xsi:type="dcterms:W3CDTF">2013-05-06T12:46:00Z</dcterms:modified>
</cp:coreProperties>
</file>