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B7CC0" w:rsidTr="00371E17">
        <w:trPr>
          <w:trHeight w:hRule="exact" w:val="5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C0" w:rsidRPr="007264E9" w:rsidRDefault="00DB7CC0" w:rsidP="00371E17">
            <w:pPr>
              <w:rPr>
                <w:rFonts w:ascii="Times New Roman" w:hAnsi="Times New Roman"/>
                <w:b/>
                <w:bCs/>
                <w:sz w:val="32"/>
                <w:szCs w:val="32"/>
                <w:lang w:val="en-US" w:bidi="ar-IQ"/>
              </w:rPr>
            </w:pPr>
            <w:r w:rsidRPr="007264E9">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C0" w:rsidRDefault="00DB7CC0" w:rsidP="00371E17">
            <w:pPr>
              <w:jc w:val="right"/>
              <w:rPr>
                <w:rFonts w:ascii="Tahoma" w:hAnsi="Tahoma" w:cs="Tahoma"/>
                <w:lang w:val="en-US" w:bidi="ar-IQ"/>
              </w:rPr>
            </w:pPr>
            <w:r>
              <w:rPr>
                <w:rFonts w:ascii="Tahoma" w:hAnsi="Tahoma" w:cs="Tahoma"/>
                <w:lang w:val="en-US" w:bidi="ar-IQ"/>
              </w:rPr>
              <w:t>College  Name</w:t>
            </w:r>
          </w:p>
        </w:tc>
      </w:tr>
      <w:tr w:rsidR="00DB7CC0" w:rsidTr="00371E17">
        <w:trPr>
          <w:trHeight w:hRule="exact" w:val="3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C0" w:rsidRPr="007264E9" w:rsidRDefault="00DB7CC0" w:rsidP="00371E17">
            <w:pPr>
              <w:rPr>
                <w:rFonts w:ascii="Times New Roman" w:hAnsi="Times New Roman"/>
                <w:b/>
                <w:bCs/>
                <w:sz w:val="32"/>
                <w:szCs w:val="32"/>
                <w:lang w:val="en-US" w:bidi="ar-IQ"/>
              </w:rPr>
            </w:pPr>
            <w:r w:rsidRPr="007264E9">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C0" w:rsidRDefault="00DB7CC0" w:rsidP="00371E17">
            <w:pPr>
              <w:jc w:val="right"/>
              <w:rPr>
                <w:rFonts w:ascii="Tahoma" w:hAnsi="Tahoma" w:cs="Tahoma"/>
                <w:lang w:val="en-US" w:bidi="ar-IQ"/>
              </w:rPr>
            </w:pPr>
            <w:r>
              <w:rPr>
                <w:rFonts w:ascii="Tahoma" w:hAnsi="Tahoma" w:cs="Tahoma"/>
                <w:lang w:val="en-US" w:bidi="ar-IQ"/>
              </w:rPr>
              <w:t>Department</w:t>
            </w:r>
          </w:p>
        </w:tc>
      </w:tr>
      <w:tr w:rsidR="00DB7CC0" w:rsidTr="00371E17">
        <w:trPr>
          <w:trHeight w:hRule="exact" w:val="7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C0" w:rsidRPr="007264E9" w:rsidRDefault="00DB7CC0" w:rsidP="00371E17">
            <w:pPr>
              <w:rPr>
                <w:rFonts w:ascii="Times New Roman" w:hAnsi="Times New Roman"/>
                <w:b/>
                <w:bCs/>
                <w:sz w:val="32"/>
                <w:szCs w:val="32"/>
                <w:lang w:val="en-US"/>
              </w:rPr>
            </w:pPr>
            <w:r w:rsidRPr="007264E9">
              <w:rPr>
                <w:rFonts w:ascii="Times New Roman" w:hAnsi="Times New Roman"/>
                <w:b/>
                <w:bCs/>
                <w:snapToGrid w:val="0"/>
                <w:sz w:val="32"/>
                <w:szCs w:val="32"/>
                <w:rtl/>
              </w:rPr>
              <w:t>رياض أحمد محمد حسين</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C0" w:rsidRDefault="00DB7CC0" w:rsidP="00371E17">
            <w:pPr>
              <w:jc w:val="right"/>
              <w:rPr>
                <w:rFonts w:ascii="Tahoma" w:hAnsi="Tahoma" w:cs="Tahoma"/>
                <w:lang w:val="en-US" w:bidi="ar-IQ"/>
              </w:rPr>
            </w:pPr>
            <w:r>
              <w:rPr>
                <w:rFonts w:ascii="Tahoma" w:hAnsi="Tahoma" w:cs="Tahoma"/>
                <w:lang w:val="en-US" w:bidi="ar-IQ"/>
              </w:rPr>
              <w:t>Full Name as written   in Passport</w:t>
            </w:r>
          </w:p>
        </w:tc>
      </w:tr>
      <w:tr w:rsidR="00DB7CC0" w:rsidTr="00371E17">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C0" w:rsidRDefault="00DB7CC0"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C0" w:rsidRDefault="00DB7CC0" w:rsidP="00371E17">
            <w:pPr>
              <w:jc w:val="right"/>
              <w:rPr>
                <w:rFonts w:ascii="Tahoma" w:hAnsi="Tahoma" w:cs="Tahoma"/>
                <w:lang w:val="en-US" w:bidi="ar-IQ"/>
              </w:rPr>
            </w:pPr>
            <w:r>
              <w:rPr>
                <w:rFonts w:ascii="Tahoma" w:hAnsi="Tahoma" w:cs="Tahoma"/>
                <w:lang w:val="en-US" w:bidi="ar-IQ"/>
              </w:rPr>
              <w:t>e-mail</w:t>
            </w:r>
          </w:p>
        </w:tc>
      </w:tr>
      <w:tr w:rsidR="00DB7CC0"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B7CC0" w:rsidRDefault="00DB7CC0"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B7CC0" w:rsidRDefault="00DB7CC0"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B7CC0" w:rsidRDefault="00DB7CC0"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B7CC0" w:rsidRDefault="00DB7CC0"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C0" w:rsidRDefault="00DB7CC0" w:rsidP="00371E17">
            <w:pPr>
              <w:jc w:val="right"/>
              <w:rPr>
                <w:rFonts w:ascii="Tahoma" w:hAnsi="Tahoma" w:cs="Tahoma"/>
                <w:lang w:val="en-US" w:bidi="ar-IQ"/>
              </w:rPr>
            </w:pPr>
            <w:r>
              <w:rPr>
                <w:rFonts w:ascii="Tahoma" w:hAnsi="Tahoma" w:cs="Tahoma"/>
                <w:lang w:val="en-US" w:bidi="ar-IQ"/>
              </w:rPr>
              <w:t xml:space="preserve">Career </w:t>
            </w:r>
          </w:p>
        </w:tc>
      </w:tr>
      <w:tr w:rsidR="00DB7CC0"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B7CC0" w:rsidRDefault="00DB7CC0"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B7CC0" w:rsidRDefault="00DB7CC0"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C0" w:rsidRDefault="00DB7CC0" w:rsidP="00371E17">
            <w:pPr>
              <w:jc w:val="right"/>
              <w:rPr>
                <w:rFonts w:ascii="Tahoma" w:hAnsi="Tahoma" w:cs="Tahoma"/>
                <w:lang w:val="en-US" w:bidi="ar-IQ"/>
              </w:rPr>
            </w:pPr>
          </w:p>
        </w:tc>
      </w:tr>
      <w:tr w:rsidR="00DB7CC0" w:rsidTr="00371E17">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C0" w:rsidRPr="007264E9" w:rsidRDefault="00DB7CC0" w:rsidP="00371E17">
            <w:pPr>
              <w:widowControl w:val="0"/>
              <w:rPr>
                <w:rFonts w:ascii="Times New Roman" w:hAnsi="Times New Roman"/>
                <w:b/>
                <w:bCs/>
                <w:snapToGrid w:val="0"/>
                <w:sz w:val="28"/>
                <w:szCs w:val="28"/>
                <w:rtl/>
                <w:lang w:bidi="ar-IQ"/>
              </w:rPr>
            </w:pPr>
            <w:r w:rsidRPr="007264E9">
              <w:rPr>
                <w:rFonts w:ascii="Times New Roman" w:hAnsi="Times New Roman"/>
                <w:b/>
                <w:bCs/>
                <w:snapToGrid w:val="0"/>
                <w:sz w:val="28"/>
                <w:szCs w:val="28"/>
                <w:rtl/>
              </w:rPr>
              <w:t>الإيفاء بمتطلبات السلطة المالية لإعتماد القوائم المالية في تحديد الوعاء الضريبي</w:t>
            </w:r>
          </w:p>
          <w:p w:rsidR="00DB7CC0" w:rsidRPr="007264E9" w:rsidRDefault="00DB7CC0" w:rsidP="00371E17">
            <w:pPr>
              <w:jc w:val="center"/>
              <w:rPr>
                <w:rFonts w:ascii="Times New Roman" w:hAnsi="Times New Roman"/>
                <w:b/>
                <w:bCs/>
                <w:sz w:val="32"/>
                <w:szCs w:val="32"/>
                <w:rtl/>
                <w:lang w:bidi="ar-IQ"/>
              </w:rPr>
            </w:pPr>
          </w:p>
          <w:p w:rsidR="00DB7CC0" w:rsidRPr="007264E9" w:rsidRDefault="00DB7CC0" w:rsidP="00371E17">
            <w:pPr>
              <w:jc w:val="center"/>
              <w:rPr>
                <w:rFonts w:ascii="Times New Roman" w:hAnsi="Times New Roman"/>
                <w:b/>
                <w:bCs/>
                <w:sz w:val="32"/>
                <w:szCs w:val="32"/>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C0" w:rsidRDefault="00DB7CC0" w:rsidP="00371E17">
            <w:pPr>
              <w:jc w:val="right"/>
              <w:rPr>
                <w:rFonts w:ascii="Tahoma" w:hAnsi="Tahoma" w:cs="Tahoma"/>
                <w:lang w:val="en-US" w:bidi="ar-IQ"/>
              </w:rPr>
            </w:pPr>
            <w:r>
              <w:rPr>
                <w:rFonts w:ascii="Tahoma" w:hAnsi="Tahoma" w:cs="Tahoma"/>
                <w:lang w:val="en-US" w:bidi="ar-IQ"/>
              </w:rPr>
              <w:t xml:space="preserve">Thesis  Title </w:t>
            </w:r>
          </w:p>
        </w:tc>
      </w:tr>
      <w:tr w:rsidR="00DB7CC0"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C0" w:rsidRPr="007264E9" w:rsidRDefault="00DB7CC0" w:rsidP="00371E17">
            <w:pPr>
              <w:tabs>
                <w:tab w:val="left" w:pos="4843"/>
              </w:tabs>
              <w:jc w:val="center"/>
              <w:rPr>
                <w:rFonts w:ascii="Times New Roman" w:hAnsi="Times New Roman"/>
                <w:b/>
                <w:bCs/>
                <w:sz w:val="32"/>
                <w:szCs w:val="32"/>
                <w:lang w:val="en-US" w:bidi="ar-IQ"/>
              </w:rPr>
            </w:pPr>
            <w:r w:rsidRPr="007264E9">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C0" w:rsidRDefault="00DB7CC0" w:rsidP="00371E17">
            <w:pPr>
              <w:jc w:val="right"/>
              <w:rPr>
                <w:rFonts w:ascii="Tahoma" w:hAnsi="Tahoma" w:cs="Tahoma"/>
                <w:lang w:val="en-US" w:bidi="ar-IQ"/>
              </w:rPr>
            </w:pPr>
            <w:r>
              <w:rPr>
                <w:rFonts w:ascii="Tahoma" w:hAnsi="Tahoma" w:cs="Tahoma"/>
                <w:lang w:val="en-US" w:bidi="ar-IQ"/>
              </w:rPr>
              <w:t>Year</w:t>
            </w:r>
          </w:p>
        </w:tc>
      </w:tr>
      <w:tr w:rsidR="00DB7CC0" w:rsidTr="00371E17">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B7CC0" w:rsidRPr="007264E9" w:rsidRDefault="00DB7CC0" w:rsidP="00371E17">
            <w:pPr>
              <w:ind w:firstLine="130"/>
              <w:jc w:val="lowKashida"/>
              <w:rPr>
                <w:rFonts w:ascii="Times New Roman" w:hAnsi="Times New Roman"/>
                <w:b/>
                <w:bCs/>
                <w:rtl/>
                <w:lang w:bidi="ar-IQ"/>
              </w:rPr>
            </w:pPr>
            <w:r w:rsidRPr="007264E9">
              <w:rPr>
                <w:rFonts w:ascii="Times New Roman" w:hAnsi="Times New Roman"/>
                <w:b/>
                <w:bCs/>
                <w:rtl/>
                <w:lang w:bidi="ar-IQ"/>
              </w:rPr>
              <w:t xml:space="preserve"> تُعد السلطة المالية أحد الأطراف المستفيدة من القوائم المالية والتي تعتمد عليها في عملية التحاسب الضريبي</w:t>
            </w:r>
            <w:r w:rsidRPr="007264E9">
              <w:rPr>
                <w:rFonts w:ascii="Times New Roman" w:hAnsi="Times New Roman"/>
                <w:b/>
                <w:bCs/>
                <w:rtl/>
              </w:rPr>
              <w:t xml:space="preserve"> كأساس </w:t>
            </w:r>
            <w:r w:rsidRPr="007264E9">
              <w:rPr>
                <w:rFonts w:ascii="Times New Roman" w:hAnsi="Times New Roman"/>
                <w:b/>
                <w:bCs/>
                <w:rtl/>
                <w:lang w:bidi="ar-IQ"/>
              </w:rPr>
              <w:t>في تحديد الوعاء الضريبي ،</w:t>
            </w:r>
            <w:r w:rsidRPr="007264E9">
              <w:rPr>
                <w:rFonts w:ascii="Times New Roman" w:hAnsi="Times New Roman"/>
                <w:b/>
                <w:bCs/>
                <w:rtl/>
              </w:rPr>
              <w:t xml:space="preserve"> إلا أن </w:t>
            </w:r>
            <w:r w:rsidRPr="007264E9">
              <w:rPr>
                <w:rFonts w:ascii="Times New Roman" w:hAnsi="Times New Roman"/>
                <w:b/>
                <w:bCs/>
                <w:rtl/>
                <w:lang w:bidi="ar-IQ"/>
              </w:rPr>
              <w:t xml:space="preserve">عدم الثقة من جانب السلطة المالية </w:t>
            </w:r>
            <w:r w:rsidRPr="007264E9">
              <w:rPr>
                <w:rFonts w:ascii="Times New Roman" w:hAnsi="Times New Roman"/>
                <w:b/>
                <w:bCs/>
                <w:rtl/>
              </w:rPr>
              <w:t>في موضوعية المعلومات المالية الواردة في القوائم المالية للشركات المحدودة</w:t>
            </w:r>
            <w:r w:rsidRPr="007264E9">
              <w:rPr>
                <w:rFonts w:ascii="Times New Roman" w:hAnsi="Times New Roman"/>
                <w:b/>
                <w:bCs/>
                <w:rtl/>
                <w:lang w:bidi="ar-IQ"/>
              </w:rPr>
              <w:t xml:space="preserve"> أدى إلى عدم الإعتماد عليها في تحديد الوعاء الضريبي وإعتمادها على الضوابط السنوية التي تصدرها . </w:t>
            </w:r>
          </w:p>
          <w:p w:rsidR="00DB7CC0" w:rsidRPr="007264E9" w:rsidRDefault="00DB7CC0" w:rsidP="00371E17">
            <w:pPr>
              <w:ind w:firstLine="130"/>
              <w:jc w:val="lowKashida"/>
              <w:rPr>
                <w:rFonts w:ascii="Times New Roman" w:hAnsi="Times New Roman"/>
                <w:b/>
                <w:bCs/>
                <w:lang w:bidi="ar-IQ"/>
              </w:rPr>
            </w:pPr>
            <w:r w:rsidRPr="007264E9">
              <w:rPr>
                <w:rFonts w:ascii="Times New Roman" w:hAnsi="Times New Roman"/>
                <w:b/>
                <w:bCs/>
                <w:rtl/>
                <w:lang w:bidi="ar-IQ"/>
              </w:rPr>
              <w:t xml:space="preserve"> ولتعزيز ثقة السلطة المالية بهذه القوائم </w:t>
            </w:r>
            <w:r w:rsidRPr="007264E9">
              <w:rPr>
                <w:rFonts w:ascii="Times New Roman" w:hAnsi="Times New Roman"/>
                <w:b/>
                <w:bCs/>
                <w:rtl/>
                <w:lang w:bidi="ar-JO"/>
              </w:rPr>
              <w:t>لا بد أن تفي ب</w:t>
            </w:r>
            <w:r w:rsidRPr="007264E9">
              <w:rPr>
                <w:rFonts w:ascii="Times New Roman" w:hAnsi="Times New Roman"/>
                <w:b/>
                <w:bCs/>
                <w:rtl/>
                <w:lang w:bidi="ar-IQ"/>
              </w:rPr>
              <w:t>متطلباتها ، لأن إيفاء هذه القوائم ب</w:t>
            </w:r>
            <w:r w:rsidRPr="007264E9">
              <w:rPr>
                <w:rFonts w:ascii="Times New Roman" w:hAnsi="Times New Roman"/>
                <w:b/>
                <w:bCs/>
                <w:rtl/>
                <w:lang w:bidi="ar-JO"/>
              </w:rPr>
              <w:t xml:space="preserve">متطلبات السلطة المالية </w:t>
            </w:r>
            <w:r w:rsidRPr="007264E9">
              <w:rPr>
                <w:rFonts w:ascii="Times New Roman" w:hAnsi="Times New Roman"/>
                <w:b/>
                <w:bCs/>
                <w:rtl/>
              </w:rPr>
              <w:t xml:space="preserve">يزيد من ثقتها بهذه القوائم </w:t>
            </w:r>
            <w:r w:rsidRPr="007264E9">
              <w:rPr>
                <w:rFonts w:ascii="Times New Roman" w:hAnsi="Times New Roman"/>
                <w:b/>
                <w:bCs/>
                <w:rtl/>
                <w:lang w:bidi="ar-IQ"/>
              </w:rPr>
              <w:t>وبالتالي الإعتماد عليها في تحديد الوعاء الضريبي .</w:t>
            </w:r>
          </w:p>
          <w:p w:rsidR="00DB7CC0" w:rsidRPr="007264E9" w:rsidRDefault="00DB7CC0" w:rsidP="00371E17">
            <w:pPr>
              <w:ind w:right="-180" w:firstLine="130"/>
              <w:jc w:val="lowKashida"/>
              <w:rPr>
                <w:rFonts w:ascii="Times New Roman" w:hAnsi="Times New Roman"/>
                <w:b/>
                <w:bCs/>
                <w:rtl/>
                <w:lang w:bidi="ar-DZ"/>
              </w:rPr>
            </w:pPr>
            <w:r w:rsidRPr="007264E9">
              <w:rPr>
                <w:rFonts w:ascii="Times New Roman" w:hAnsi="Times New Roman"/>
                <w:b/>
                <w:bCs/>
                <w:rtl/>
                <w:lang w:bidi="ar-DZ"/>
              </w:rPr>
              <w:t xml:space="preserve">    لذا يهدف هذا البحث إلى </w:t>
            </w:r>
            <w:r w:rsidRPr="007264E9">
              <w:rPr>
                <w:rFonts w:ascii="Times New Roman" w:hAnsi="Times New Roman"/>
                <w:b/>
                <w:bCs/>
                <w:rtl/>
                <w:lang w:bidi="ar-IQ"/>
              </w:rPr>
              <w:t>بيان المتطلبات الأساسية للسلطة المالية التي يجب أن تفي بها القوائم المالية</w:t>
            </w:r>
            <w:r w:rsidRPr="007264E9">
              <w:rPr>
                <w:rFonts w:ascii="Times New Roman" w:hAnsi="Times New Roman"/>
                <w:b/>
                <w:bCs/>
                <w:rtl/>
                <w:lang w:bidi="ar-DZ"/>
              </w:rPr>
              <w:t xml:space="preserve"> المقدمة إليها من قبل الشركات المحدودة ، والتي من شأنها </w:t>
            </w:r>
            <w:r w:rsidRPr="007264E9">
              <w:rPr>
                <w:rFonts w:ascii="Times New Roman" w:hAnsi="Times New Roman"/>
                <w:b/>
                <w:bCs/>
                <w:rtl/>
              </w:rPr>
              <w:t>تعزيز دور هذه القوائم في عملية التحاسب الضريبي</w:t>
            </w:r>
            <w:r w:rsidRPr="007264E9">
              <w:rPr>
                <w:rFonts w:ascii="Times New Roman" w:hAnsi="Times New Roman"/>
                <w:b/>
                <w:bCs/>
                <w:rtl/>
                <w:lang w:bidi="ar-DZ"/>
              </w:rPr>
              <w:t xml:space="preserve"> كأساس في تحديد الوعاء الضريبي .</w:t>
            </w:r>
          </w:p>
          <w:p w:rsidR="00DB7CC0" w:rsidRPr="007264E9" w:rsidRDefault="00DB7CC0" w:rsidP="00371E17">
            <w:pPr>
              <w:ind w:firstLine="130"/>
              <w:jc w:val="lowKashida"/>
              <w:rPr>
                <w:rFonts w:ascii="Times New Roman" w:hAnsi="Times New Roman"/>
                <w:b/>
                <w:bCs/>
                <w:color w:val="000000"/>
                <w:rtl/>
              </w:rPr>
            </w:pPr>
            <w:r w:rsidRPr="007264E9">
              <w:rPr>
                <w:rFonts w:ascii="Times New Roman" w:hAnsi="Times New Roman"/>
                <w:b/>
                <w:bCs/>
                <w:color w:val="000000"/>
                <w:rtl/>
                <w:lang w:bidi="ar-DZ"/>
              </w:rPr>
              <w:t xml:space="preserve"> </w:t>
            </w:r>
            <w:r w:rsidRPr="007264E9">
              <w:rPr>
                <w:rFonts w:ascii="Times New Roman" w:hAnsi="Times New Roman"/>
                <w:b/>
                <w:bCs/>
                <w:color w:val="000000"/>
                <w:rtl/>
              </w:rPr>
              <w:t>وقد توصل البحث إلى استنتاجات أهمها:</w:t>
            </w:r>
          </w:p>
          <w:p w:rsidR="00DB7CC0" w:rsidRPr="007264E9" w:rsidRDefault="00DB7CC0" w:rsidP="00DB7CC0">
            <w:pPr>
              <w:numPr>
                <w:ilvl w:val="0"/>
                <w:numId w:val="1"/>
              </w:numPr>
              <w:tabs>
                <w:tab w:val="left" w:pos="458"/>
              </w:tabs>
              <w:ind w:left="0" w:firstLine="130"/>
              <w:jc w:val="lowKashida"/>
              <w:rPr>
                <w:rFonts w:ascii="Times New Roman" w:hAnsi="Times New Roman"/>
                <w:b/>
                <w:bCs/>
                <w:rtl/>
              </w:rPr>
            </w:pPr>
            <w:r w:rsidRPr="007264E9">
              <w:rPr>
                <w:rFonts w:ascii="Times New Roman" w:hAnsi="Times New Roman"/>
                <w:b/>
                <w:bCs/>
                <w:rtl/>
                <w:lang w:bidi="ar-IQ"/>
              </w:rPr>
              <w:t>إنّ عدم إستيفاء القوائم المالية المقدمة من قبل الشركات المحدودة</w:t>
            </w:r>
            <w:r w:rsidRPr="007264E9">
              <w:rPr>
                <w:rFonts w:ascii="Times New Roman" w:hAnsi="Times New Roman"/>
                <w:b/>
                <w:bCs/>
                <w:rtl/>
                <w:lang w:bidi="ar-JO"/>
              </w:rPr>
              <w:t xml:space="preserve"> لمتطلبات السلطة المالية</w:t>
            </w:r>
            <w:r w:rsidRPr="007264E9">
              <w:rPr>
                <w:rFonts w:ascii="Times New Roman" w:hAnsi="Times New Roman"/>
                <w:b/>
                <w:bCs/>
                <w:rtl/>
                <w:lang w:bidi="ar-IQ"/>
              </w:rPr>
              <w:t xml:space="preserve"> كان سبباً في </w:t>
            </w:r>
            <w:r w:rsidRPr="007264E9">
              <w:rPr>
                <w:rFonts w:ascii="Times New Roman" w:hAnsi="Times New Roman"/>
                <w:b/>
                <w:bCs/>
                <w:rtl/>
              </w:rPr>
              <w:t>عدم إعتمادها من قبل السلطة المالية في</w:t>
            </w:r>
            <w:r w:rsidRPr="007264E9">
              <w:rPr>
                <w:rFonts w:ascii="Times New Roman" w:hAnsi="Times New Roman"/>
                <w:b/>
                <w:bCs/>
                <w:rtl/>
                <w:lang w:bidi="ar-IQ"/>
              </w:rPr>
              <w:t xml:space="preserve"> تحديد الوعاء الضريبي .</w:t>
            </w:r>
          </w:p>
          <w:p w:rsidR="00DB7CC0" w:rsidRPr="007264E9" w:rsidRDefault="00DB7CC0" w:rsidP="00DB7CC0">
            <w:pPr>
              <w:numPr>
                <w:ilvl w:val="0"/>
                <w:numId w:val="1"/>
              </w:numPr>
              <w:tabs>
                <w:tab w:val="left" w:pos="458"/>
              </w:tabs>
              <w:ind w:left="0" w:firstLine="130"/>
              <w:jc w:val="lowKashida"/>
              <w:rPr>
                <w:rFonts w:ascii="Times New Roman" w:hAnsi="Times New Roman"/>
                <w:b/>
                <w:bCs/>
                <w:rtl/>
              </w:rPr>
            </w:pPr>
            <w:r w:rsidRPr="007264E9">
              <w:rPr>
                <w:rFonts w:ascii="Times New Roman" w:hAnsi="Times New Roman"/>
                <w:b/>
                <w:bCs/>
                <w:rtl/>
              </w:rPr>
              <w:t>تواضع مستوى الأداء العام لمهنة مراقبة الحسابات وضعف فاعليتها في إضفاء الثقة والمصداقية بالقوائم المالية التي يقدمها المكلفون إلى السلطة المالية.</w:t>
            </w:r>
          </w:p>
          <w:p w:rsidR="00DB7CC0" w:rsidRPr="007264E9" w:rsidRDefault="00DB7CC0" w:rsidP="00DB7CC0">
            <w:pPr>
              <w:numPr>
                <w:ilvl w:val="0"/>
                <w:numId w:val="1"/>
              </w:numPr>
              <w:tabs>
                <w:tab w:val="left" w:pos="458"/>
              </w:tabs>
              <w:ind w:left="0" w:firstLine="130"/>
              <w:jc w:val="lowKashida"/>
              <w:rPr>
                <w:rFonts w:ascii="Times New Roman" w:hAnsi="Times New Roman"/>
                <w:b/>
                <w:bCs/>
                <w:color w:val="000000"/>
              </w:rPr>
            </w:pPr>
            <w:r w:rsidRPr="007264E9">
              <w:rPr>
                <w:rFonts w:ascii="Times New Roman" w:hAnsi="Times New Roman"/>
                <w:b/>
                <w:bCs/>
                <w:rtl/>
              </w:rPr>
              <w:t>عدم قيام السلطة المالية بممارسة حقها القانوني في التحري والتحقق عن دخل المكلف الحقيقي والبحث عن مصادره في محل وجودها وإقتصار إجراءاتها على  الفحص الضريبي المكتبي من دون أن تمتد تلك الإجراءات لتشمل إجراءات فحص ميدانية لمحلات أعمال المكلفين.</w:t>
            </w:r>
          </w:p>
          <w:p w:rsidR="00DB7CC0" w:rsidRPr="007264E9" w:rsidRDefault="00DB7CC0" w:rsidP="00371E17">
            <w:pPr>
              <w:tabs>
                <w:tab w:val="left" w:pos="458"/>
              </w:tabs>
              <w:ind w:firstLine="130"/>
              <w:jc w:val="lowKashida"/>
              <w:rPr>
                <w:rFonts w:ascii="Times New Roman" w:hAnsi="Times New Roman"/>
                <w:b/>
                <w:bCs/>
                <w:color w:val="000000"/>
              </w:rPr>
            </w:pPr>
            <w:r w:rsidRPr="007264E9">
              <w:rPr>
                <w:rFonts w:ascii="Times New Roman" w:hAnsi="Times New Roman"/>
                <w:b/>
                <w:bCs/>
                <w:color w:val="000000"/>
                <w:rtl/>
              </w:rPr>
              <w:t>أما أهم التوصيات التي تم التوصل إليها فهي:</w:t>
            </w:r>
          </w:p>
          <w:p w:rsidR="00DB7CC0" w:rsidRPr="007264E9" w:rsidRDefault="00DB7CC0" w:rsidP="00DB7CC0">
            <w:pPr>
              <w:numPr>
                <w:ilvl w:val="0"/>
                <w:numId w:val="2"/>
              </w:numPr>
              <w:ind w:left="0" w:firstLine="130"/>
              <w:jc w:val="lowKashida"/>
              <w:rPr>
                <w:rFonts w:ascii="Times New Roman" w:hAnsi="Times New Roman"/>
                <w:b/>
                <w:bCs/>
              </w:rPr>
            </w:pPr>
            <w:r w:rsidRPr="007264E9">
              <w:rPr>
                <w:rFonts w:ascii="Times New Roman" w:hAnsi="Times New Roman"/>
                <w:b/>
                <w:bCs/>
                <w:rtl/>
                <w:lang w:bidi="ar-IQ"/>
              </w:rPr>
              <w:t xml:space="preserve">التأكيد على الشركات المحدودة في أن تكون </w:t>
            </w:r>
            <w:r w:rsidRPr="007264E9">
              <w:rPr>
                <w:rFonts w:ascii="Times New Roman" w:hAnsi="Times New Roman"/>
                <w:b/>
                <w:bCs/>
                <w:rtl/>
                <w:lang w:bidi="ar-JO"/>
              </w:rPr>
              <w:t xml:space="preserve">القوائم المالية المقدمة من قبلها مستوفية لمتطلبات السلطة المالية حتى تزداد ثقة السلطة المالية </w:t>
            </w:r>
            <w:r w:rsidRPr="007264E9">
              <w:rPr>
                <w:rFonts w:ascii="Times New Roman" w:hAnsi="Times New Roman"/>
                <w:b/>
                <w:bCs/>
                <w:rtl/>
                <w:lang w:bidi="ar-IQ"/>
              </w:rPr>
              <w:t>بها ومن ثم الإعتماد عليها في تحديد الوعاء الضريبي.</w:t>
            </w:r>
          </w:p>
          <w:p w:rsidR="00DB7CC0" w:rsidRPr="007264E9" w:rsidRDefault="00DB7CC0" w:rsidP="00DB7CC0">
            <w:pPr>
              <w:numPr>
                <w:ilvl w:val="0"/>
                <w:numId w:val="2"/>
              </w:numPr>
              <w:tabs>
                <w:tab w:val="num" w:pos="566"/>
              </w:tabs>
              <w:ind w:left="0" w:firstLine="130"/>
              <w:jc w:val="lowKashida"/>
              <w:rPr>
                <w:rFonts w:ascii="Times New Roman" w:hAnsi="Times New Roman"/>
                <w:b/>
                <w:bCs/>
                <w:rtl/>
              </w:rPr>
            </w:pPr>
            <w:r w:rsidRPr="007264E9">
              <w:rPr>
                <w:rFonts w:ascii="Times New Roman" w:hAnsi="Times New Roman"/>
                <w:b/>
                <w:bCs/>
                <w:rtl/>
              </w:rPr>
              <w:t>العمل على الارتقاء بمستوى الأداء العام لمهنة مراقبة الحسابات وتطوير فاعليتها في رفد السلطة المالية ببيانات مالية أكثر موثوقية ومصداقية عن الأوضاع المالية للمكلفين ونتائج أعمالهم ، من خلال التعاون والتنسيق بين السلطة المالية وبين مجلس مهنة مراقبة الحسابات وتبادل المعلومات معها عن أداء مراقب الحسابات ، مع ضرورة أن تكون هناك مراقبة مستمرة لعمل مراقب الحسابات لضمان إلتزامه بأخلاقيات المهنة وقواعد السلوك المهني لضمان صحة القوائم المالية المصادق عليها من قبلهِ .</w:t>
            </w:r>
          </w:p>
          <w:p w:rsidR="00DB7CC0" w:rsidRPr="007264E9" w:rsidRDefault="00DB7CC0" w:rsidP="00371E17">
            <w:pPr>
              <w:tabs>
                <w:tab w:val="left" w:pos="164"/>
              </w:tabs>
              <w:ind w:firstLine="130"/>
              <w:jc w:val="lowKashida"/>
              <w:rPr>
                <w:rFonts w:ascii="Times New Roman" w:hAnsi="Times New Roman"/>
                <w:b/>
                <w:bCs/>
                <w:rtl/>
              </w:rPr>
            </w:pPr>
            <w:r w:rsidRPr="007264E9">
              <w:rPr>
                <w:rFonts w:ascii="Times New Roman" w:hAnsi="Times New Roman"/>
                <w:b/>
                <w:bCs/>
                <w:rtl/>
              </w:rPr>
              <w:t>3. حث موظفي السلطة المالية ودعمهم في العمل على تفعيل إجراءات الفحص الميداني لمحلات أعمال المكلفين وممارسة حقهم القانوني في التحري والتحقق عن دخل المكلف الحقيقي والبحث عن مصادره في محل وجودها والاطلاع على طبيعة هذه الأعمال وفحص الدفاتر والمستندات والمراسلات والاستفسار عن كل ما لهُ علاقة بأعمال المكلف ونشاطاته ، مع مراعاة إعطائهم الوقت الكافي لذلك.</w:t>
            </w:r>
          </w:p>
          <w:p w:rsidR="00DB7CC0" w:rsidRDefault="00DB7CC0" w:rsidP="00371E17">
            <w:pPr>
              <w:jc w:val="right"/>
              <w:rPr>
                <w:rFonts w:hint="cs"/>
                <w:sz w:val="16"/>
                <w:szCs w:val="16"/>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B7CC0" w:rsidRDefault="00DB7CC0" w:rsidP="00371E17">
            <w:pPr>
              <w:spacing w:line="360" w:lineRule="auto"/>
              <w:rPr>
                <w:rFonts w:ascii="Tahoma" w:hAnsi="Tahoma" w:cs="Tahoma"/>
                <w:sz w:val="16"/>
                <w:szCs w:val="16"/>
                <w:rtl/>
                <w:lang w:val="en-US" w:bidi="ar-IQ"/>
              </w:rPr>
            </w:pPr>
          </w:p>
          <w:p w:rsidR="00DB7CC0" w:rsidRDefault="00DB7CC0" w:rsidP="00371E17">
            <w:pPr>
              <w:spacing w:line="360" w:lineRule="auto"/>
              <w:jc w:val="right"/>
              <w:rPr>
                <w:rFonts w:ascii="Tahoma" w:hAnsi="Tahoma" w:cs="Tahoma"/>
                <w:sz w:val="16"/>
                <w:szCs w:val="16"/>
                <w:rtl/>
                <w:lang w:val="en-US" w:bidi="ar-IQ"/>
              </w:rPr>
            </w:pPr>
          </w:p>
          <w:p w:rsidR="00DB7CC0" w:rsidRDefault="00DB7CC0"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542B7"/>
    <w:multiLevelType w:val="hybridMultilevel"/>
    <w:tmpl w:val="9BB04D54"/>
    <w:lvl w:ilvl="0" w:tplc="09CE94CE">
      <w:start w:val="1"/>
      <w:numFmt w:val="decimal"/>
      <w:lvlText w:val="%1."/>
      <w:lvlJc w:val="left"/>
      <w:pPr>
        <w:tabs>
          <w:tab w:val="num" w:pos="360"/>
        </w:tabs>
        <w:ind w:left="360" w:hanging="360"/>
      </w:pPr>
      <w:rPr>
        <w:b w:val="0"/>
        <w:bCs/>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10581A"/>
    <w:multiLevelType w:val="hybridMultilevel"/>
    <w:tmpl w:val="FC1A23FE"/>
    <w:lvl w:ilvl="0" w:tplc="396AFE2C">
      <w:start w:val="1"/>
      <w:numFmt w:val="decimal"/>
      <w:lvlText w:val="%1."/>
      <w:lvlJc w:val="left"/>
      <w:pPr>
        <w:tabs>
          <w:tab w:val="num" w:pos="386"/>
        </w:tabs>
        <w:ind w:left="386"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B7CC0"/>
    <w:rsid w:val="001F7110"/>
    <w:rsid w:val="00DB7C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C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B7CC0"/>
  </w:style>
  <w:style w:type="character" w:customStyle="1" w:styleId="shorttext">
    <w:name w:val="short_text"/>
    <w:basedOn w:val="DefaultParagraphFont"/>
    <w:rsid w:val="00DB7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2013-05-08T11:22:00Z</dcterms:created>
  <dcterms:modified xsi:type="dcterms:W3CDTF">2013-05-08T11:22:00Z</dcterms:modified>
</cp:coreProperties>
</file>