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C41E24" w:rsidTr="00DC05BF">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41E24" w:rsidRDefault="00C41E24" w:rsidP="00DC05BF">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41E24" w:rsidRDefault="00C41E24" w:rsidP="00DC05BF">
            <w:pPr>
              <w:jc w:val="right"/>
              <w:rPr>
                <w:rFonts w:ascii="Tahoma" w:hAnsi="Tahoma" w:cs="Tahoma"/>
                <w:lang w:val="en-US" w:bidi="ar-IQ"/>
              </w:rPr>
            </w:pPr>
            <w:r>
              <w:rPr>
                <w:rFonts w:ascii="Tahoma" w:hAnsi="Tahoma" w:cs="Tahoma"/>
                <w:lang w:val="en-US" w:bidi="ar-IQ"/>
              </w:rPr>
              <w:t>College  Name</w:t>
            </w:r>
          </w:p>
        </w:tc>
      </w:tr>
      <w:tr w:rsidR="00C41E24" w:rsidTr="00DC05BF">
        <w:trPr>
          <w:trHeight w:hRule="exact" w:val="36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41E24" w:rsidRDefault="00C41E24" w:rsidP="00DC05BF">
            <w:pPr>
              <w:rPr>
                <w:rFonts w:ascii="Times New Roman" w:hAnsi="Times New Roman"/>
                <w:b/>
                <w:bCs/>
                <w:sz w:val="32"/>
                <w:szCs w:val="32"/>
                <w:lang w:val="en-US" w:bidi="ar-IQ"/>
              </w:rPr>
            </w:pPr>
            <w:r>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41E24" w:rsidRDefault="00C41E24" w:rsidP="00DC05BF">
            <w:pPr>
              <w:jc w:val="right"/>
              <w:rPr>
                <w:rFonts w:ascii="Tahoma" w:hAnsi="Tahoma" w:cs="Tahoma"/>
                <w:lang w:val="en-US" w:bidi="ar-IQ"/>
              </w:rPr>
            </w:pPr>
            <w:r>
              <w:rPr>
                <w:rFonts w:ascii="Tahoma" w:hAnsi="Tahoma" w:cs="Tahoma"/>
                <w:lang w:val="en-US" w:bidi="ar-IQ"/>
              </w:rPr>
              <w:t>Department</w:t>
            </w:r>
          </w:p>
        </w:tc>
      </w:tr>
      <w:tr w:rsidR="00C41E24" w:rsidTr="00DC05BF">
        <w:trPr>
          <w:trHeight w:hRule="exact" w:val="71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41E24" w:rsidRDefault="00C41E24" w:rsidP="00DC05BF">
            <w:pPr>
              <w:rPr>
                <w:rFonts w:ascii="Times New Roman" w:hAnsi="Times New Roman"/>
                <w:b/>
                <w:bCs/>
                <w:sz w:val="32"/>
                <w:szCs w:val="32"/>
                <w:rtl/>
                <w:lang w:bidi="ar-IQ"/>
              </w:rPr>
            </w:pPr>
            <w:r>
              <w:rPr>
                <w:rFonts w:ascii="Times New Roman" w:hAnsi="Times New Roman"/>
                <w:b/>
                <w:bCs/>
                <w:sz w:val="32"/>
                <w:szCs w:val="32"/>
                <w:rtl/>
                <w:lang w:bidi="ar-IQ"/>
              </w:rPr>
              <w:t>بتول يونس صبيح التميمي</w:t>
            </w:r>
          </w:p>
          <w:p w:rsidR="00C41E24" w:rsidRDefault="00C41E24" w:rsidP="00DC05BF">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41E24" w:rsidRDefault="00C41E24" w:rsidP="00DC05BF">
            <w:pPr>
              <w:jc w:val="right"/>
              <w:rPr>
                <w:rFonts w:ascii="Tahoma" w:hAnsi="Tahoma" w:cs="Tahoma"/>
                <w:lang w:val="en-US" w:bidi="ar-IQ"/>
              </w:rPr>
            </w:pPr>
            <w:r>
              <w:rPr>
                <w:rFonts w:ascii="Tahoma" w:hAnsi="Tahoma" w:cs="Tahoma"/>
                <w:lang w:val="en-US" w:bidi="ar-IQ"/>
              </w:rPr>
              <w:t>Full Name as written   in Passport</w:t>
            </w:r>
          </w:p>
        </w:tc>
      </w:tr>
      <w:tr w:rsidR="00C41E24" w:rsidTr="00DC05BF">
        <w:trPr>
          <w:trHeight w:hRule="exact" w:val="32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41E24" w:rsidRDefault="00C41E24" w:rsidP="00DC05BF">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41E24" w:rsidRDefault="00C41E24" w:rsidP="00DC05BF">
            <w:pPr>
              <w:jc w:val="right"/>
              <w:rPr>
                <w:rFonts w:ascii="Tahoma" w:hAnsi="Tahoma" w:cs="Tahoma"/>
                <w:lang w:val="en-US" w:bidi="ar-IQ"/>
              </w:rPr>
            </w:pPr>
            <w:r>
              <w:rPr>
                <w:rFonts w:ascii="Tahoma" w:hAnsi="Tahoma" w:cs="Tahoma"/>
                <w:lang w:val="en-US" w:bidi="ar-IQ"/>
              </w:rPr>
              <w:t>e-mail</w:t>
            </w:r>
          </w:p>
        </w:tc>
      </w:tr>
      <w:tr w:rsidR="00C41E24" w:rsidTr="00DC05BF">
        <w:trPr>
          <w:trHeight w:hRule="exact" w:val="34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C41E24" w:rsidRDefault="00C41E24" w:rsidP="00DC05B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C41E24" w:rsidRDefault="00C41E24" w:rsidP="00DC05B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C41E24" w:rsidRDefault="00C41E24" w:rsidP="00DC05B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C41E24" w:rsidRDefault="00C41E24" w:rsidP="00DC05B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41E24" w:rsidRDefault="00C41E24" w:rsidP="00DC05BF">
            <w:pPr>
              <w:jc w:val="right"/>
              <w:rPr>
                <w:rFonts w:ascii="Tahoma" w:hAnsi="Tahoma" w:cs="Tahoma"/>
                <w:lang w:val="en-US" w:bidi="ar-IQ"/>
              </w:rPr>
            </w:pPr>
            <w:r>
              <w:rPr>
                <w:rFonts w:ascii="Tahoma" w:hAnsi="Tahoma" w:cs="Tahoma"/>
                <w:lang w:val="en-US" w:bidi="ar-IQ"/>
              </w:rPr>
              <w:t xml:space="preserve">Career </w:t>
            </w:r>
          </w:p>
        </w:tc>
      </w:tr>
      <w:tr w:rsidR="00C41E24" w:rsidTr="00DC05BF">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C41E24" w:rsidRDefault="00C41E24" w:rsidP="00DC05BF">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C41E24" w:rsidRDefault="00C41E24" w:rsidP="00DC05BF">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41E24" w:rsidRDefault="00C41E24" w:rsidP="00DC05BF">
            <w:pPr>
              <w:jc w:val="right"/>
              <w:rPr>
                <w:rFonts w:ascii="Tahoma" w:hAnsi="Tahoma" w:cs="Tahoma"/>
                <w:lang w:val="en-US" w:bidi="ar-IQ"/>
              </w:rPr>
            </w:pPr>
          </w:p>
        </w:tc>
      </w:tr>
      <w:tr w:rsidR="00C41E24" w:rsidTr="00DC05BF">
        <w:trPr>
          <w:trHeight w:hRule="exact" w:val="62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41E24" w:rsidRPr="009A253E" w:rsidRDefault="00C41E24" w:rsidP="00DC05BF">
            <w:pPr>
              <w:jc w:val="center"/>
              <w:rPr>
                <w:rFonts w:ascii="Times New Roman" w:hAnsi="Times New Roman"/>
                <w:b/>
                <w:bCs/>
                <w:sz w:val="28"/>
                <w:szCs w:val="28"/>
                <w:lang w:val="en-US" w:bidi="ar-IQ"/>
              </w:rPr>
            </w:pPr>
            <w:r w:rsidRPr="009A253E">
              <w:rPr>
                <w:rFonts w:ascii="Times New Roman" w:hAnsi="Times New Roman"/>
                <w:b/>
                <w:bCs/>
                <w:i/>
                <w:iCs/>
                <w:shadow/>
                <w:sz w:val="28"/>
                <w:szCs w:val="28"/>
                <w:rtl/>
                <w:lang w:bidi="ar-IQ"/>
              </w:rPr>
              <w:t>مدى إلتزام المصارف العراقية بضوابط الإفصاح وفق متطلبات معايير المحاسبة الدولية والمحلية</w:t>
            </w:r>
            <w:r w:rsidRPr="009A253E">
              <w:rPr>
                <w:rFonts w:ascii="Times New Roman" w:hAnsi="Times New Roman"/>
                <w:b/>
                <w:bCs/>
                <w:sz w:val="28"/>
                <w:szCs w:val="28"/>
                <w:rtl/>
                <w:lang w:val="en-US" w:bidi="ar-IQ"/>
              </w:rPr>
              <w:t xml:space="preserve"> والقوانين ذات العلاقة</w:t>
            </w:r>
            <w:r w:rsidRPr="009A253E">
              <w:rPr>
                <w:rFonts w:ascii="Times New Roman" w:hAnsi="Times New Roman"/>
                <w:b/>
                <w:bCs/>
                <w:sz w:val="28"/>
                <w:szCs w:val="28"/>
                <w:rtl/>
                <w:lang w:val="en-US" w:bidi="ar-IQ"/>
              </w:rPr>
              <w:br/>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41E24" w:rsidRDefault="00C41E24" w:rsidP="00DC05BF">
            <w:pPr>
              <w:jc w:val="right"/>
              <w:rPr>
                <w:rFonts w:ascii="Tahoma" w:hAnsi="Tahoma" w:cs="Tahoma"/>
                <w:lang w:val="en-US" w:bidi="ar-IQ"/>
              </w:rPr>
            </w:pPr>
            <w:r>
              <w:rPr>
                <w:rFonts w:ascii="Tahoma" w:hAnsi="Tahoma" w:cs="Tahoma"/>
                <w:lang w:val="en-US" w:bidi="ar-IQ"/>
              </w:rPr>
              <w:t xml:space="preserve">Thesis  Title </w:t>
            </w:r>
          </w:p>
        </w:tc>
      </w:tr>
      <w:tr w:rsidR="00C41E24" w:rsidTr="00DC05BF">
        <w:trPr>
          <w:trHeight w:hRule="exact" w:val="35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41E24" w:rsidRPr="009A253E" w:rsidRDefault="00C41E24" w:rsidP="00DC05BF">
            <w:pPr>
              <w:tabs>
                <w:tab w:val="left" w:pos="4843"/>
              </w:tabs>
              <w:jc w:val="center"/>
              <w:rPr>
                <w:rFonts w:hint="cs"/>
                <w:b/>
                <w:bCs/>
                <w:sz w:val="32"/>
                <w:szCs w:val="32"/>
                <w:lang w:val="en-US" w:bidi="ar-IQ"/>
              </w:rPr>
            </w:pPr>
            <w:r w:rsidRPr="009A253E">
              <w:rPr>
                <w:b/>
                <w:bCs/>
                <w:sz w:val="32"/>
                <w:szCs w:val="32"/>
                <w:rtl/>
                <w:lang w:val="en-US" w:bidi="ar-IQ"/>
              </w:rPr>
              <w:t>2009</w:t>
            </w:r>
            <w:r>
              <w:rPr>
                <w:rFonts w:hint="cs"/>
                <w:b/>
                <w:bCs/>
                <w:sz w:val="32"/>
                <w:szCs w:val="32"/>
                <w:rtl/>
                <w:lang w:val="en-US" w:bidi="ar-IQ"/>
              </w:rPr>
              <w:t xml:space="preserve"> 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41E24" w:rsidRDefault="00C41E24" w:rsidP="00DC05BF">
            <w:pPr>
              <w:jc w:val="right"/>
              <w:rPr>
                <w:rFonts w:ascii="Tahoma" w:hAnsi="Tahoma" w:cs="Tahoma"/>
                <w:lang w:val="en-US" w:bidi="ar-IQ"/>
              </w:rPr>
            </w:pPr>
            <w:r>
              <w:rPr>
                <w:rFonts w:ascii="Tahoma" w:hAnsi="Tahoma" w:cs="Tahoma"/>
                <w:lang w:val="en-US" w:bidi="ar-IQ"/>
              </w:rPr>
              <w:t>Year</w:t>
            </w:r>
          </w:p>
        </w:tc>
      </w:tr>
      <w:tr w:rsidR="00C41E24" w:rsidTr="00DC05BF">
        <w:trPr>
          <w:trHeight w:val="7404"/>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C41E24" w:rsidRPr="009A253E" w:rsidRDefault="00C41E24" w:rsidP="00DC05BF">
            <w:pPr>
              <w:spacing w:line="360" w:lineRule="auto"/>
              <w:jc w:val="lowKashida"/>
              <w:rPr>
                <w:rFonts w:ascii="Times New Roman" w:hAnsi="Times New Roman"/>
                <w:b/>
                <w:bCs/>
                <w:sz w:val="18"/>
                <w:szCs w:val="18"/>
                <w:rtl/>
                <w:lang w:bidi="ar-IQ"/>
              </w:rPr>
            </w:pPr>
            <w:r w:rsidRPr="009A253E">
              <w:rPr>
                <w:rFonts w:ascii="Times New Roman" w:hAnsi="Times New Roman"/>
                <w:b/>
                <w:bCs/>
                <w:sz w:val="18"/>
                <w:szCs w:val="18"/>
                <w:rtl/>
                <w:lang w:bidi="ar-IQ"/>
              </w:rPr>
              <w:t>نظراً للأهمية التي تمتاز بها المعايير المحاسبية الدولية التي أصدرتها لجنة معايير المحاسبة الدولية (</w:t>
            </w:r>
            <w:r w:rsidRPr="009A253E">
              <w:rPr>
                <w:rFonts w:ascii="Times New Roman" w:hAnsi="Times New Roman"/>
                <w:b/>
                <w:bCs/>
                <w:sz w:val="18"/>
                <w:szCs w:val="18"/>
                <w:lang w:bidi="ar-IQ"/>
              </w:rPr>
              <w:t>IASC</w:t>
            </w:r>
            <w:r w:rsidRPr="009A253E">
              <w:rPr>
                <w:rFonts w:ascii="Times New Roman" w:hAnsi="Times New Roman"/>
                <w:b/>
                <w:bCs/>
                <w:sz w:val="18"/>
                <w:szCs w:val="18"/>
                <w:rtl/>
                <w:lang w:bidi="ar-IQ"/>
              </w:rPr>
              <w:t>) وخاصة متطلبات العرض والافصاح منها، اذ أصبحت تلك المعايير مرجعاً لاغنى عنها يسترشد بها المهنيون في معظم دول العالم ، مما ينبغي الالتزام بها بشكلها الحالي او بعد مراعاة تكييف تطبيقها بما يتلائم ومتطلبات البيئة المحلية، لذلك تناولت هذه الدراسة مدى التزام المصارف العراقية بالافصاح والعرض الكافي والملائم لمتطلبات الافصاح والعرض التي تقر بها معايير المحاسبة الدولية والمحلية وبما يتلائم وحاجات مستخدمي القوائم المالية .</w:t>
            </w:r>
          </w:p>
          <w:p w:rsidR="00C41E24" w:rsidRPr="009A253E" w:rsidRDefault="00C41E24" w:rsidP="00DC05BF">
            <w:pPr>
              <w:spacing w:line="360" w:lineRule="auto"/>
              <w:jc w:val="lowKashida"/>
              <w:rPr>
                <w:rFonts w:ascii="Times New Roman" w:hAnsi="Times New Roman"/>
                <w:b/>
                <w:bCs/>
                <w:sz w:val="18"/>
                <w:szCs w:val="18"/>
                <w:rtl/>
                <w:lang w:bidi="ar-IQ"/>
              </w:rPr>
            </w:pPr>
            <w:r w:rsidRPr="009A253E">
              <w:rPr>
                <w:rFonts w:ascii="Times New Roman" w:hAnsi="Times New Roman"/>
                <w:b/>
                <w:bCs/>
                <w:sz w:val="18"/>
                <w:szCs w:val="18"/>
                <w:rtl/>
                <w:lang w:bidi="ar-IQ"/>
              </w:rPr>
              <w:t>يهدف البحث الى التعرف على متطلبات العرض والافصاح وفقاً لمعايير المحاسبة الدولية والمحلية، والتشريعات والقوانين ذات العلاقة بنشاط المصارف، ومدى التزام المصارف العراقية بتلك المعايير والقوانين، مع بيان أهمية تقديم الافصاح المناسب والأكثر قدرة على توفير المعلومات الملائمة والموثوق بها، التي تخدم قرارات مستخدمي القوائم المالية وأصحاب المصلحة في المصارف الخاصة لاسيما تلك المدرجة في سوق العراق للأوراق المالية. وفي ضوء ذلك فأن البحث يستند الى فرضية أساسية ترتبط بعدم التزام المصارف العراقية بجميع معايير الافصاح والعرض والمتطلبات القانونية عند إعداد القوائم المالية، كما تطرق البحث الى تطور النشاط المصرفي والتعرف على ماهية المصارف التجارية وخصائصها ووظائفها، كذلك الى مفهوم الافصاح وأنواعه وأهميته في القوائم المالية للمصارف،وايضا الى متطلبات الافصاح وفقا لمقررات لجنة بازل والمعايير المحاسبية الدولية والمحلية وانعكاساتها في الافصاح عن المعلومات. هذا وقد استند  البحث في جانب منه على تحليل القوائم المالية للمصارف عينة البحث والمتداولة اسهمها في سوق العراق للأوراق المالية، ومقارنة تلك القوائم مع متطلبات العرض والافصاح وفق المعايير المحاسبية الدولية والمحلية والقوانين ذات العلاقة، وقد توصل البحث الى مجموعة من الاستنتاجات تمثلت أهمها بالاتي:</w:t>
            </w:r>
          </w:p>
          <w:p w:rsidR="00C41E24" w:rsidRPr="009A253E" w:rsidRDefault="00C41E24" w:rsidP="00C41E24">
            <w:pPr>
              <w:numPr>
                <w:ilvl w:val="0"/>
                <w:numId w:val="1"/>
              </w:numPr>
              <w:spacing w:line="360" w:lineRule="auto"/>
              <w:jc w:val="lowKashida"/>
              <w:rPr>
                <w:rFonts w:ascii="Times New Roman" w:hAnsi="Times New Roman"/>
                <w:b/>
                <w:bCs/>
                <w:sz w:val="18"/>
                <w:szCs w:val="18"/>
                <w:rtl/>
                <w:lang w:bidi="ar-IQ"/>
              </w:rPr>
            </w:pPr>
            <w:r w:rsidRPr="009A253E">
              <w:rPr>
                <w:rFonts w:ascii="Times New Roman" w:hAnsi="Times New Roman"/>
                <w:b/>
                <w:bCs/>
                <w:sz w:val="18"/>
                <w:szCs w:val="18"/>
                <w:rtl/>
                <w:lang w:bidi="ar-IQ"/>
              </w:rPr>
              <w:t>أن للمصارف طبيعة خاصة من حيث العمليات التي تجريها، مما دفع لجنة معايير المحاسبة الدولية (</w:t>
            </w:r>
            <w:r w:rsidRPr="009A253E">
              <w:rPr>
                <w:rFonts w:ascii="Times New Roman" w:hAnsi="Times New Roman"/>
                <w:b/>
                <w:bCs/>
                <w:sz w:val="18"/>
                <w:szCs w:val="18"/>
                <w:lang w:bidi="ar-IQ"/>
              </w:rPr>
              <w:t>IASC</w:t>
            </w:r>
            <w:r w:rsidRPr="009A253E">
              <w:rPr>
                <w:rFonts w:ascii="Times New Roman" w:hAnsi="Times New Roman"/>
                <w:b/>
                <w:bCs/>
                <w:sz w:val="18"/>
                <w:szCs w:val="18"/>
                <w:rtl/>
              </w:rPr>
              <w:t>)</w:t>
            </w:r>
            <w:r w:rsidRPr="009A253E">
              <w:rPr>
                <w:rFonts w:ascii="Times New Roman" w:hAnsi="Times New Roman"/>
                <w:b/>
                <w:bCs/>
                <w:sz w:val="18"/>
                <w:szCs w:val="18"/>
                <w:rtl/>
                <w:lang w:bidi="ar-IQ"/>
              </w:rPr>
              <w:t xml:space="preserve"> الى وضع معيار مستقل للافصاح في القوائم المالية للمصارف والمؤسسات المالية المشابهة وهو المعياررقم (30).</w:t>
            </w:r>
          </w:p>
          <w:p w:rsidR="00C41E24" w:rsidRPr="009A253E" w:rsidRDefault="00C41E24" w:rsidP="00C41E24">
            <w:pPr>
              <w:numPr>
                <w:ilvl w:val="0"/>
                <w:numId w:val="1"/>
              </w:numPr>
              <w:spacing w:line="360" w:lineRule="auto"/>
              <w:jc w:val="lowKashida"/>
              <w:rPr>
                <w:rFonts w:ascii="Times New Roman" w:hAnsi="Times New Roman"/>
                <w:b/>
                <w:bCs/>
                <w:sz w:val="18"/>
                <w:szCs w:val="18"/>
                <w:rtl/>
                <w:lang w:bidi="ar-IQ"/>
              </w:rPr>
            </w:pPr>
            <w:r w:rsidRPr="009A253E">
              <w:rPr>
                <w:rFonts w:ascii="Times New Roman" w:hAnsi="Times New Roman"/>
                <w:b/>
                <w:bCs/>
                <w:sz w:val="18"/>
                <w:szCs w:val="18"/>
                <w:rtl/>
                <w:lang w:bidi="ar-IQ"/>
              </w:rPr>
              <w:t>لا يتم اعداد بيان التغيرات في حقوق المساهمين كما هو مطلوب في معيار المحاسبة الدولي الاول، وإنما تم إظهاره كجزء من الكشوفات التحليلية.</w:t>
            </w:r>
          </w:p>
          <w:p w:rsidR="00C41E24" w:rsidRPr="009A253E" w:rsidRDefault="00C41E24" w:rsidP="00C41E24">
            <w:pPr>
              <w:numPr>
                <w:ilvl w:val="0"/>
                <w:numId w:val="1"/>
              </w:numPr>
              <w:spacing w:line="360" w:lineRule="auto"/>
              <w:jc w:val="lowKashida"/>
              <w:rPr>
                <w:rFonts w:ascii="Times New Roman" w:hAnsi="Times New Roman"/>
                <w:b/>
                <w:bCs/>
                <w:sz w:val="18"/>
                <w:szCs w:val="18"/>
                <w:lang w:bidi="ar-IQ"/>
              </w:rPr>
            </w:pPr>
            <w:r w:rsidRPr="009A253E">
              <w:rPr>
                <w:rFonts w:ascii="Times New Roman" w:hAnsi="Times New Roman"/>
                <w:b/>
                <w:bCs/>
                <w:sz w:val="18"/>
                <w:szCs w:val="18"/>
                <w:rtl/>
                <w:lang w:bidi="ar-IQ"/>
              </w:rPr>
              <w:t>هناك اختلاف في اسلوب العرض المطلوب في كشف التدفق النقدي للمصارف عن ما ورد في معيار المحاسبة الدولي رقم (7)، فيما يخص إظهار التدفقات النقدية على ثلاثة مراحل.</w:t>
            </w:r>
          </w:p>
          <w:p w:rsidR="00C41E24" w:rsidRPr="009A253E" w:rsidRDefault="00C41E24" w:rsidP="00DC05BF">
            <w:pPr>
              <w:spacing w:line="360" w:lineRule="auto"/>
              <w:jc w:val="lowKashida"/>
              <w:rPr>
                <w:rFonts w:ascii="Times New Roman" w:hAnsi="Times New Roman"/>
                <w:b/>
                <w:bCs/>
                <w:sz w:val="18"/>
                <w:szCs w:val="18"/>
                <w:lang w:bidi="ar-IQ"/>
              </w:rPr>
            </w:pPr>
            <w:r w:rsidRPr="009A253E">
              <w:rPr>
                <w:rFonts w:ascii="Times New Roman" w:hAnsi="Times New Roman"/>
                <w:b/>
                <w:bCs/>
                <w:sz w:val="18"/>
                <w:szCs w:val="18"/>
                <w:rtl/>
                <w:lang w:bidi="ar-IQ"/>
              </w:rPr>
              <w:t xml:space="preserve">وفي ضوء ما سبق توصلت الدراسة الى مجموعة من التوصيات تمثلت أهمها: </w:t>
            </w:r>
          </w:p>
          <w:p w:rsidR="00C41E24" w:rsidRPr="009A253E" w:rsidRDefault="00C41E24" w:rsidP="00C41E24">
            <w:pPr>
              <w:numPr>
                <w:ilvl w:val="0"/>
                <w:numId w:val="2"/>
              </w:numPr>
              <w:spacing w:line="360" w:lineRule="auto"/>
              <w:jc w:val="lowKashida"/>
              <w:rPr>
                <w:rFonts w:ascii="Times New Roman" w:hAnsi="Times New Roman"/>
                <w:b/>
                <w:bCs/>
                <w:sz w:val="18"/>
                <w:szCs w:val="18"/>
                <w:rtl/>
                <w:lang w:bidi="ar-IQ"/>
              </w:rPr>
            </w:pPr>
            <w:r w:rsidRPr="009A253E">
              <w:rPr>
                <w:rFonts w:ascii="Times New Roman" w:hAnsi="Times New Roman"/>
                <w:b/>
                <w:bCs/>
                <w:sz w:val="18"/>
                <w:szCs w:val="18"/>
                <w:rtl/>
                <w:lang w:bidi="ar-IQ"/>
              </w:rPr>
              <w:t>الزام المصارف العراقية باعداد القوائم المالية وفقاً للأسس والقواعد التي نص عليها المعيار المحاسبي الدولي الاول والمعيار الدولي رقم (30).</w:t>
            </w:r>
          </w:p>
          <w:p w:rsidR="00C41E24" w:rsidRPr="009A253E" w:rsidRDefault="00C41E24" w:rsidP="00C41E24">
            <w:pPr>
              <w:numPr>
                <w:ilvl w:val="0"/>
                <w:numId w:val="2"/>
              </w:numPr>
              <w:spacing w:line="360" w:lineRule="auto"/>
              <w:jc w:val="lowKashida"/>
              <w:rPr>
                <w:rFonts w:ascii="Times New Roman" w:hAnsi="Times New Roman" w:hint="cs"/>
                <w:b/>
                <w:bCs/>
                <w:sz w:val="18"/>
                <w:szCs w:val="18"/>
                <w:lang w:bidi="ar-IQ"/>
              </w:rPr>
            </w:pPr>
            <w:r w:rsidRPr="009A253E">
              <w:rPr>
                <w:rFonts w:ascii="Times New Roman" w:hAnsi="Times New Roman"/>
                <w:b/>
                <w:bCs/>
                <w:sz w:val="18"/>
                <w:szCs w:val="18"/>
                <w:rtl/>
                <w:lang w:bidi="ar-IQ"/>
              </w:rPr>
              <w:t>تطوير النظام المحاسبي الموحد للمصارف بما ينسجم والمعايير المحاسبية الدولية والمحلية.</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C41E24" w:rsidRDefault="00C41E24" w:rsidP="00DC05BF">
            <w:pPr>
              <w:spacing w:line="360" w:lineRule="auto"/>
              <w:rPr>
                <w:rFonts w:ascii="Tahoma" w:hAnsi="Tahoma" w:cs="Tahoma"/>
                <w:sz w:val="16"/>
                <w:szCs w:val="16"/>
                <w:rtl/>
                <w:lang w:val="en-US" w:bidi="ar-IQ"/>
              </w:rPr>
            </w:pPr>
          </w:p>
          <w:p w:rsidR="00C41E24" w:rsidRDefault="00C41E24" w:rsidP="00DC05BF">
            <w:pPr>
              <w:spacing w:line="360" w:lineRule="auto"/>
              <w:jc w:val="right"/>
              <w:rPr>
                <w:rFonts w:ascii="Tahoma" w:hAnsi="Tahoma" w:cs="Tahoma"/>
                <w:sz w:val="16"/>
                <w:szCs w:val="16"/>
                <w:rtl/>
                <w:lang w:val="en-US" w:bidi="ar-IQ"/>
              </w:rPr>
            </w:pPr>
          </w:p>
          <w:p w:rsidR="00C41E24" w:rsidRDefault="00C41E24" w:rsidP="00DC05BF">
            <w:pPr>
              <w:spacing w:line="360" w:lineRule="auto"/>
              <w:jc w:val="right"/>
              <w:rPr>
                <w:rFonts w:ascii="Tahoma" w:hAnsi="Tahoma" w:cs="Tahoma"/>
                <w:sz w:val="16"/>
                <w:szCs w:val="16"/>
                <w:lang w:val="en-US" w:bidi="ar-IQ"/>
              </w:rPr>
            </w:pPr>
            <w:r>
              <w:rPr>
                <w:rFonts w:ascii="Tahoma" w:hAnsi="Tahoma" w:cs="Tahoma"/>
                <w:sz w:val="16"/>
                <w:szCs w:val="16"/>
                <w:lang w:val="en-US" w:bidi="ar-IQ"/>
              </w:rPr>
              <w:t xml:space="preserve"> Abstract </w:t>
            </w:r>
            <w:r>
              <w:rPr>
                <w:rFonts w:ascii="Tahoma" w:hAnsi="Tahoma" w:cs="Tahoma"/>
                <w:sz w:val="16"/>
                <w:szCs w:val="16"/>
                <w:rtl/>
                <w:lang w:val="en-US" w:bidi="ar-IQ"/>
              </w:rPr>
              <w:t xml:space="preserve">  </w:t>
            </w:r>
          </w:p>
        </w:tc>
      </w:tr>
    </w:tbl>
    <w:p w:rsidR="00567619" w:rsidRDefault="00567619"/>
    <w:sectPr w:rsidR="00567619" w:rsidSect="005676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27336"/>
    <w:multiLevelType w:val="hybridMultilevel"/>
    <w:tmpl w:val="800EF8EA"/>
    <w:lvl w:ilvl="0" w:tplc="65A01784">
      <w:start w:val="1"/>
      <w:numFmt w:val="decimal"/>
      <w:lvlText w:val="%1-"/>
      <w:lvlJc w:val="left"/>
      <w:pPr>
        <w:tabs>
          <w:tab w:val="num" w:pos="750"/>
        </w:tabs>
        <w:ind w:left="750" w:hanging="39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67CB26D3"/>
    <w:multiLevelType w:val="hybridMultilevel"/>
    <w:tmpl w:val="105CDAB4"/>
    <w:lvl w:ilvl="0" w:tplc="D6A04358">
      <w:start w:val="1"/>
      <w:numFmt w:val="decimal"/>
      <w:lvlText w:val="%1-"/>
      <w:lvlJc w:val="left"/>
      <w:pPr>
        <w:tabs>
          <w:tab w:val="num" w:pos="750"/>
        </w:tabs>
        <w:ind w:left="750" w:hanging="39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1E24"/>
    <w:rsid w:val="00567619"/>
    <w:rsid w:val="00C41E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24"/>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41E24"/>
  </w:style>
  <w:style w:type="character" w:customStyle="1" w:styleId="shorttext">
    <w:name w:val="short_text"/>
    <w:basedOn w:val="DefaultParagraphFont"/>
    <w:rsid w:val="00C41E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2013-03-25T06:09:00Z</dcterms:created>
  <dcterms:modified xsi:type="dcterms:W3CDTF">2013-03-25T06:10:00Z</dcterms:modified>
</cp:coreProperties>
</file>