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649"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459"/>
      </w:tblGrid>
      <w:tr w:rsidR="00C66AA0" w:rsidTr="00DC05BF">
        <w:trPr>
          <w:trHeight w:hRule="exact" w:val="444"/>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C66AA0" w:rsidRPr="00A009DB" w:rsidRDefault="00C66AA0" w:rsidP="00DC05BF">
            <w:pPr>
              <w:tabs>
                <w:tab w:val="left" w:pos="2317"/>
              </w:tabs>
              <w:rPr>
                <w:rFonts w:ascii="Times New Roman" w:hAnsi="Times New Roman"/>
                <w:b/>
                <w:bCs/>
                <w:sz w:val="32"/>
                <w:szCs w:val="32"/>
                <w:lang w:val="en-US" w:bidi="ar-IQ"/>
              </w:rPr>
            </w:pPr>
            <w:r w:rsidRPr="00A009DB">
              <w:rPr>
                <w:rFonts w:ascii="Times New Roman" w:hAnsi="Times New Roman"/>
                <w:b/>
                <w:bCs/>
                <w:sz w:val="32"/>
                <w:szCs w:val="32"/>
                <w:rtl/>
                <w:lang w:val="en-US" w:bidi="ar-IQ"/>
              </w:rPr>
              <w:t>كلية الادارة والاقتصاد</w:t>
            </w:r>
            <w:r w:rsidRPr="00A009DB">
              <w:rPr>
                <w:rFonts w:ascii="Times New Roman" w:hAnsi="Times New Roman"/>
                <w:b/>
                <w:bCs/>
                <w:sz w:val="32"/>
                <w:szCs w:val="32"/>
                <w:rtl/>
                <w:lang w:val="en-US" w:bidi="ar-IQ"/>
              </w:rPr>
              <w:tab/>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66AA0" w:rsidRPr="00A009DB" w:rsidRDefault="00C66AA0" w:rsidP="00DC05BF">
            <w:pPr>
              <w:jc w:val="right"/>
              <w:rPr>
                <w:rFonts w:ascii="Times New Roman" w:hAnsi="Times New Roman"/>
                <w:lang w:val="en-US" w:bidi="ar-IQ"/>
              </w:rPr>
            </w:pPr>
            <w:r w:rsidRPr="00A009DB">
              <w:rPr>
                <w:rFonts w:ascii="Times New Roman" w:hAnsi="Times New Roman"/>
                <w:lang w:val="en-US" w:bidi="ar-IQ"/>
              </w:rPr>
              <w:t>College  Name</w:t>
            </w:r>
          </w:p>
        </w:tc>
      </w:tr>
      <w:tr w:rsidR="00C66AA0" w:rsidTr="00DC05BF">
        <w:trPr>
          <w:trHeight w:hRule="exact" w:val="396"/>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C66AA0" w:rsidRPr="00A009DB" w:rsidRDefault="00C66AA0" w:rsidP="00DC05BF">
            <w:pPr>
              <w:rPr>
                <w:rFonts w:ascii="Times New Roman" w:hAnsi="Times New Roman"/>
                <w:b/>
                <w:bCs/>
                <w:sz w:val="32"/>
                <w:szCs w:val="32"/>
                <w:lang w:val="en-US" w:bidi="ar-IQ"/>
              </w:rPr>
            </w:pPr>
            <w:r w:rsidRPr="00A009DB">
              <w:rPr>
                <w:rFonts w:ascii="Times New Roman" w:hAnsi="Times New Roman"/>
                <w:b/>
                <w:bCs/>
                <w:sz w:val="32"/>
                <w:szCs w:val="32"/>
                <w:rtl/>
                <w:lang w:val="en-US" w:bidi="ar-IQ"/>
              </w:rPr>
              <w:t>اقتصاد</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66AA0" w:rsidRPr="00A009DB" w:rsidRDefault="00C66AA0" w:rsidP="00DC05BF">
            <w:pPr>
              <w:jc w:val="right"/>
              <w:rPr>
                <w:rFonts w:ascii="Times New Roman" w:hAnsi="Times New Roman"/>
                <w:lang w:val="en-US" w:bidi="ar-IQ"/>
              </w:rPr>
            </w:pPr>
            <w:r w:rsidRPr="00A009DB">
              <w:rPr>
                <w:rFonts w:ascii="Times New Roman" w:hAnsi="Times New Roman"/>
                <w:lang w:val="en-US" w:bidi="ar-IQ"/>
              </w:rPr>
              <w:t>Department</w:t>
            </w:r>
          </w:p>
        </w:tc>
      </w:tr>
      <w:tr w:rsidR="00C66AA0" w:rsidTr="00DC05BF">
        <w:trPr>
          <w:trHeight w:hRule="exact" w:val="722"/>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C66AA0" w:rsidRPr="00A009DB" w:rsidRDefault="00C66AA0" w:rsidP="00DC05BF">
            <w:pPr>
              <w:rPr>
                <w:rFonts w:ascii="Times New Roman" w:hAnsi="Times New Roman"/>
                <w:b/>
                <w:bCs/>
                <w:sz w:val="32"/>
                <w:szCs w:val="32"/>
                <w:rtl/>
              </w:rPr>
            </w:pPr>
            <w:r w:rsidRPr="00A009DB">
              <w:rPr>
                <w:rFonts w:ascii="Times New Roman" w:hAnsi="Times New Roman"/>
                <w:b/>
                <w:bCs/>
                <w:sz w:val="32"/>
                <w:szCs w:val="32"/>
                <w:rtl/>
              </w:rPr>
              <w:tab/>
              <w:t>حسناء ناصر ابراهيم</w:t>
            </w:r>
          </w:p>
          <w:p w:rsidR="00C66AA0" w:rsidRPr="00A009DB" w:rsidRDefault="00C66AA0" w:rsidP="00DC05BF">
            <w:pPr>
              <w:tabs>
                <w:tab w:val="left" w:pos="339"/>
                <w:tab w:val="left" w:pos="772"/>
                <w:tab w:val="center" w:pos="4016"/>
                <w:tab w:val="right" w:pos="7974"/>
              </w:tabs>
              <w:rPr>
                <w:rFonts w:ascii="Times New Roman" w:hAnsi="Times New Roman"/>
                <w:b/>
                <w:bCs/>
                <w:sz w:val="32"/>
                <w:szCs w:val="32"/>
                <w:rtl/>
              </w:rPr>
            </w:pPr>
            <w:r w:rsidRPr="00A009DB">
              <w:rPr>
                <w:rFonts w:ascii="Times New Roman" w:hAnsi="Times New Roman"/>
                <w:b/>
                <w:bCs/>
                <w:sz w:val="32"/>
                <w:szCs w:val="32"/>
                <w:rtl/>
              </w:rPr>
              <w:tab/>
            </w:r>
            <w:r w:rsidRPr="00A009DB">
              <w:rPr>
                <w:rFonts w:ascii="Times New Roman" w:hAnsi="Times New Roman"/>
                <w:b/>
                <w:bCs/>
                <w:sz w:val="32"/>
                <w:szCs w:val="32"/>
                <w:rtl/>
              </w:rPr>
              <w:tab/>
            </w:r>
            <w:r w:rsidRPr="00A009DB">
              <w:rPr>
                <w:rFonts w:ascii="Times New Roman" w:hAnsi="Times New Roman"/>
                <w:b/>
                <w:bCs/>
                <w:sz w:val="32"/>
                <w:szCs w:val="32"/>
                <w:rtl/>
              </w:rPr>
              <w:tab/>
            </w:r>
            <w:r w:rsidRPr="00A009DB">
              <w:rPr>
                <w:rFonts w:ascii="Times New Roman" w:hAnsi="Times New Roman"/>
                <w:b/>
                <w:bCs/>
                <w:sz w:val="32"/>
                <w:szCs w:val="32"/>
                <w:rtl/>
              </w:rPr>
              <w:tab/>
            </w:r>
          </w:p>
          <w:p w:rsidR="00C66AA0" w:rsidRPr="00A009DB" w:rsidRDefault="00C66AA0" w:rsidP="00DC05BF">
            <w:pPr>
              <w:rPr>
                <w:rFonts w:ascii="Times New Roman" w:hAnsi="Times New Roman"/>
                <w:b/>
                <w:bCs/>
                <w:sz w:val="32"/>
                <w:szCs w:val="32"/>
                <w:rtl/>
              </w:rPr>
            </w:pPr>
          </w:p>
          <w:p w:rsidR="00C66AA0" w:rsidRPr="00A009DB" w:rsidRDefault="00C66AA0" w:rsidP="00DC05BF">
            <w:pPr>
              <w:tabs>
                <w:tab w:val="left" w:pos="337"/>
              </w:tabs>
              <w:rPr>
                <w:rFonts w:ascii="Times New Roman" w:hAnsi="Times New Roman"/>
                <w:b/>
                <w:bCs/>
                <w:sz w:val="32"/>
                <w:szCs w:val="32"/>
                <w:rtl/>
              </w:rPr>
            </w:pPr>
          </w:p>
          <w:p w:rsidR="00C66AA0" w:rsidRPr="00A009DB" w:rsidRDefault="00C66AA0" w:rsidP="00DC05BF">
            <w:pPr>
              <w:pStyle w:val="BodyText3"/>
              <w:rPr>
                <w:rFonts w:ascii="Times New Roman" w:hAnsi="Times New Roman"/>
                <w:b/>
                <w:bCs/>
                <w:sz w:val="32"/>
                <w:szCs w:val="32"/>
                <w:lang w:val="en-US"/>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66AA0" w:rsidRPr="00A009DB" w:rsidRDefault="00C66AA0" w:rsidP="00DC05BF">
            <w:pPr>
              <w:jc w:val="right"/>
              <w:rPr>
                <w:rFonts w:ascii="Times New Roman" w:hAnsi="Times New Roman"/>
                <w:lang w:val="en-US" w:bidi="ar-IQ"/>
              </w:rPr>
            </w:pPr>
            <w:r w:rsidRPr="00A009DB">
              <w:rPr>
                <w:rFonts w:ascii="Times New Roman" w:hAnsi="Times New Roman"/>
                <w:lang w:val="en-US" w:bidi="ar-IQ"/>
              </w:rPr>
              <w:t>Full Name as written   in Passport</w:t>
            </w:r>
          </w:p>
        </w:tc>
      </w:tr>
      <w:tr w:rsidR="00C66AA0" w:rsidTr="00DC05BF">
        <w:trPr>
          <w:trHeight w:hRule="exact" w:val="303"/>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C66AA0" w:rsidRDefault="00C66AA0" w:rsidP="00DC05BF">
            <w:pPr>
              <w:jc w:val="right"/>
              <w:rPr>
                <w:sz w:val="20"/>
                <w:szCs w:val="20"/>
                <w:lang w:val="en-US" w:bidi="ar-IQ"/>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66AA0" w:rsidRPr="00A009DB" w:rsidRDefault="00C66AA0" w:rsidP="00DC05BF">
            <w:pPr>
              <w:jc w:val="right"/>
              <w:rPr>
                <w:rFonts w:ascii="Times New Roman" w:hAnsi="Times New Roman"/>
                <w:lang w:val="en-US" w:bidi="ar-IQ"/>
              </w:rPr>
            </w:pPr>
            <w:r w:rsidRPr="00A009DB">
              <w:rPr>
                <w:rFonts w:ascii="Times New Roman" w:hAnsi="Times New Roman"/>
                <w:lang w:val="en-US" w:bidi="ar-IQ"/>
              </w:rPr>
              <w:t>e-mail</w:t>
            </w:r>
          </w:p>
        </w:tc>
      </w:tr>
      <w:tr w:rsidR="00C66AA0" w:rsidTr="00DC05BF">
        <w:trPr>
          <w:trHeight w:hRule="exact" w:val="354"/>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C66AA0" w:rsidRDefault="00C66AA0" w:rsidP="00DC05BF">
            <w:pPr>
              <w:jc w:val="right"/>
              <w:rPr>
                <w:rFonts w:ascii="Simplified Arabic" w:hAnsi="Simplified Arabic" w:cs="Simplified Arabic"/>
                <w:b/>
                <w:bCs/>
                <w:sz w:val="20"/>
                <w:szCs w:val="20"/>
                <w:lang w:val="en-US" w:bidi="ar-IQ"/>
              </w:rPr>
            </w:pPr>
            <w:r>
              <w:rPr>
                <w:rtl/>
              </w:rPr>
              <w:pict>
                <v:oval id="_x0000_s1026" style="position:absolute;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Professor</w:t>
            </w:r>
            <w:r>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66AA0" w:rsidRDefault="00C66AA0" w:rsidP="00DC05BF">
            <w:pPr>
              <w:jc w:val="right"/>
              <w:rPr>
                <w:rFonts w:ascii="Simplified Arabic" w:hAnsi="Simplified Arabic" w:cs="Simplified Arabic"/>
                <w:b/>
                <w:bCs/>
                <w:sz w:val="20"/>
                <w:szCs w:val="20"/>
                <w:lang w:val="en-US" w:bidi="ar-IQ"/>
              </w:rPr>
            </w:pPr>
            <w:r>
              <w:rPr>
                <w:rtl/>
              </w:rPr>
              <w:pict>
                <v:oval id="_x0000_s1027" style="position:absolute;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Assistant</w:t>
            </w:r>
            <w:r>
              <w:rPr>
                <w:rStyle w:val="shorttext"/>
                <w:rFonts w:ascii="Simplified Arabic" w:hAnsi="Simplified Arabic" w:cs="Simplified Arabic" w:hint="cs"/>
                <w:b/>
                <w:bCs/>
                <w:color w:val="333333"/>
                <w:sz w:val="20"/>
                <w:szCs w:val="20"/>
              </w:rPr>
              <w:t xml:space="preserve"> </w:t>
            </w:r>
            <w:r>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66AA0" w:rsidRDefault="00C66AA0" w:rsidP="00DC05BF">
            <w:pPr>
              <w:jc w:val="right"/>
              <w:rPr>
                <w:rFonts w:ascii="Simplified Arabic" w:hAnsi="Simplified Arabic" w:cs="Simplified Arabic"/>
                <w:b/>
                <w:bCs/>
                <w:sz w:val="20"/>
                <w:szCs w:val="20"/>
                <w:lang w:bidi="ar-IQ"/>
              </w:rPr>
            </w:pPr>
            <w:r>
              <w:rPr>
                <w:rtl/>
              </w:rPr>
              <w:pict>
                <v:oval id="_x0000_s1028" style="position:absolute;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lang w:val="en-US"/>
              </w:rPr>
              <w:t xml:space="preserve">   </w:t>
            </w:r>
            <w:r>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66AA0" w:rsidRDefault="00C66AA0" w:rsidP="00DC05BF">
            <w:pPr>
              <w:spacing w:line="276" w:lineRule="auto"/>
              <w:jc w:val="right"/>
              <w:rPr>
                <w:rFonts w:ascii="Simplified Arabic" w:hAnsi="Simplified Arabic" w:cs="Simplified Arabic"/>
                <w:b/>
                <w:bCs/>
                <w:sz w:val="20"/>
                <w:szCs w:val="20"/>
                <w:lang w:val="en-US" w:bidi="ar-IQ"/>
              </w:rPr>
            </w:pPr>
            <w:r>
              <w:rPr>
                <w:rtl/>
              </w:rPr>
              <w:pict>
                <v:oval id="_x0000_s1029" style="position:absolute;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val="en-US" w:bidi="ar-IQ"/>
              </w:rPr>
              <w:t xml:space="preserve">  </w:t>
            </w:r>
            <w:r>
              <w:rPr>
                <w:rStyle w:val="hps"/>
                <w:rFonts w:ascii="Simplified Arabic" w:hAnsi="Simplified Arabic" w:cs="Simplified Arabic" w:hint="cs"/>
                <w:b/>
                <w:bCs/>
                <w:color w:val="333333"/>
                <w:sz w:val="20"/>
                <w:szCs w:val="20"/>
                <w:lang w:val="en-US" w:bidi="ar-IQ"/>
              </w:rPr>
              <w:t xml:space="preserve">   </w:t>
            </w:r>
            <w:r>
              <w:rPr>
                <w:rStyle w:val="hps"/>
                <w:rFonts w:ascii="Simplified Arabic" w:hAnsi="Simplified Arabic" w:cs="Simplified Arabic" w:hint="cs"/>
                <w:b/>
                <w:bCs/>
                <w:color w:val="333333"/>
                <w:sz w:val="20"/>
                <w:szCs w:val="20"/>
              </w:rPr>
              <w:t xml:space="preserve"> Assistant Lecturer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66AA0" w:rsidRPr="00A009DB" w:rsidRDefault="00C66AA0" w:rsidP="00DC05BF">
            <w:pPr>
              <w:jc w:val="right"/>
              <w:rPr>
                <w:rFonts w:ascii="Times New Roman" w:hAnsi="Times New Roman"/>
                <w:lang w:val="en-US" w:bidi="ar-IQ"/>
              </w:rPr>
            </w:pPr>
            <w:r w:rsidRPr="00A009DB">
              <w:rPr>
                <w:rFonts w:ascii="Times New Roman" w:hAnsi="Times New Roman"/>
                <w:lang w:val="en-US" w:bidi="ar-IQ"/>
              </w:rPr>
              <w:t xml:space="preserve">Career </w:t>
            </w:r>
          </w:p>
        </w:tc>
      </w:tr>
      <w:tr w:rsidR="00C66AA0" w:rsidTr="00DC05BF">
        <w:trPr>
          <w:trHeight w:hRule="exact" w:val="453"/>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C66AA0" w:rsidRDefault="00C66AA0" w:rsidP="00DC05BF">
            <w:pPr>
              <w:jc w:val="right"/>
              <w:rPr>
                <w:sz w:val="20"/>
                <w:szCs w:val="20"/>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sz w:val="20"/>
                <w:szCs w:val="20"/>
                <w:lang w:val="en-US" w:bidi="ar-IQ"/>
              </w:rPr>
              <w:t xml:space="preserve">        PhD</w:t>
            </w:r>
            <w:r>
              <w:rPr>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66AA0" w:rsidRDefault="00C66AA0" w:rsidP="00DC05BF">
            <w:pPr>
              <w:jc w:val="right"/>
              <w:rPr>
                <w:sz w:val="20"/>
                <w:szCs w:val="20"/>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sz w:val="20"/>
                <w:szCs w:val="20"/>
                <w:lang w:val="en-US" w:bidi="ar-IQ"/>
              </w:rPr>
              <w:t xml:space="preserve">           Master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66AA0" w:rsidRPr="00A009DB" w:rsidRDefault="00C66AA0" w:rsidP="00DC05BF">
            <w:pPr>
              <w:jc w:val="right"/>
              <w:rPr>
                <w:rFonts w:ascii="Times New Roman" w:hAnsi="Times New Roman"/>
                <w:lang w:val="en-US" w:bidi="ar-IQ"/>
              </w:rPr>
            </w:pPr>
          </w:p>
        </w:tc>
      </w:tr>
      <w:tr w:rsidR="00C66AA0" w:rsidTr="00DC05BF">
        <w:trPr>
          <w:trHeight w:hRule="exact" w:val="442"/>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C66AA0" w:rsidRPr="00A009DB" w:rsidRDefault="00C66AA0" w:rsidP="00DC05BF">
            <w:pPr>
              <w:rPr>
                <w:rFonts w:ascii="Times New Roman" w:hAnsi="Times New Roman"/>
                <w:b/>
                <w:bCs/>
                <w:sz w:val="32"/>
                <w:szCs w:val="32"/>
                <w:rtl/>
              </w:rPr>
            </w:pPr>
            <w:r w:rsidRPr="00A009DB">
              <w:rPr>
                <w:rFonts w:ascii="Times New Roman" w:hAnsi="Times New Roman"/>
                <w:b/>
                <w:bCs/>
                <w:sz w:val="32"/>
                <w:szCs w:val="32"/>
                <w:rtl/>
              </w:rPr>
              <w:t xml:space="preserve">قياس معدل العائد الاقتصادي للتعليم الجامعي لكليات مختارة في العراق </w:t>
            </w:r>
          </w:p>
          <w:p w:rsidR="00C66AA0" w:rsidRDefault="00C66AA0" w:rsidP="00DC05BF">
            <w:pPr>
              <w:jc w:val="right"/>
              <w:rPr>
                <w:rFonts w:hint="cs"/>
                <w:sz w:val="20"/>
                <w:szCs w:val="20"/>
                <w:rtl/>
                <w:lang w:val="en-US"/>
              </w:rPr>
            </w:pPr>
          </w:p>
          <w:p w:rsidR="00C66AA0" w:rsidRDefault="00C66AA0" w:rsidP="00DC05BF">
            <w:pPr>
              <w:rPr>
                <w:sz w:val="20"/>
                <w:szCs w:val="20"/>
                <w:lang w:val="en-US"/>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66AA0" w:rsidRPr="00A009DB" w:rsidRDefault="00C66AA0" w:rsidP="00DC05BF">
            <w:pPr>
              <w:jc w:val="right"/>
              <w:rPr>
                <w:rFonts w:ascii="Times New Roman" w:hAnsi="Times New Roman"/>
                <w:lang w:val="en-US" w:bidi="ar-IQ"/>
              </w:rPr>
            </w:pPr>
            <w:r w:rsidRPr="00A009DB">
              <w:rPr>
                <w:rFonts w:ascii="Times New Roman" w:hAnsi="Times New Roman"/>
                <w:lang w:val="en-US" w:bidi="ar-IQ"/>
              </w:rPr>
              <w:t xml:space="preserve">Thesis  Title </w:t>
            </w:r>
          </w:p>
        </w:tc>
      </w:tr>
      <w:tr w:rsidR="00C66AA0" w:rsidTr="00DC05BF">
        <w:trPr>
          <w:trHeight w:hRule="exact" w:val="36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C66AA0" w:rsidRPr="00A009DB" w:rsidRDefault="00C66AA0" w:rsidP="00DC05BF">
            <w:pPr>
              <w:tabs>
                <w:tab w:val="left" w:pos="189"/>
                <w:tab w:val="right" w:pos="7974"/>
              </w:tabs>
              <w:rPr>
                <w:rFonts w:ascii="Times New Roman" w:hAnsi="Times New Roman"/>
                <w:b/>
                <w:bCs/>
                <w:sz w:val="32"/>
                <w:szCs w:val="32"/>
                <w:lang w:val="en-US" w:bidi="ar-IQ"/>
              </w:rPr>
            </w:pPr>
            <w:r w:rsidRPr="00A009DB">
              <w:rPr>
                <w:rFonts w:ascii="Times New Roman" w:hAnsi="Times New Roman"/>
                <w:b/>
                <w:bCs/>
                <w:sz w:val="32"/>
                <w:szCs w:val="32"/>
                <w:rtl/>
                <w:lang w:val="en-US" w:bidi="ar-IQ"/>
              </w:rPr>
              <w:tab/>
              <w:t>1432هــ                                   بغداد                             2011م</w:t>
            </w:r>
            <w:r w:rsidRPr="00A009DB">
              <w:rPr>
                <w:rFonts w:ascii="Times New Roman" w:hAnsi="Times New Roman"/>
                <w:b/>
                <w:bCs/>
                <w:sz w:val="32"/>
                <w:szCs w:val="32"/>
                <w:rtl/>
                <w:lang w:val="en-US" w:bidi="ar-IQ"/>
              </w:rPr>
              <w:tab/>
            </w:r>
            <w:r w:rsidRPr="00A009DB">
              <w:rPr>
                <w:rFonts w:ascii="Times New Roman" w:hAnsi="Times New Roman"/>
                <w:b/>
                <w:bCs/>
                <w:sz w:val="32"/>
                <w:szCs w:val="32"/>
                <w:rtl/>
                <w:lang w:val="en-US" w:bidi="ar-IQ"/>
              </w:rPr>
              <w:tab/>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66AA0" w:rsidRPr="00A009DB" w:rsidRDefault="00C66AA0" w:rsidP="00DC05BF">
            <w:pPr>
              <w:jc w:val="right"/>
              <w:rPr>
                <w:rFonts w:ascii="Times New Roman" w:hAnsi="Times New Roman"/>
                <w:lang w:val="en-US" w:bidi="ar-IQ"/>
              </w:rPr>
            </w:pPr>
            <w:r w:rsidRPr="00A009DB">
              <w:rPr>
                <w:rFonts w:ascii="Times New Roman" w:hAnsi="Times New Roman"/>
                <w:lang w:val="en-US" w:bidi="ar-IQ"/>
              </w:rPr>
              <w:t>Year</w:t>
            </w:r>
          </w:p>
        </w:tc>
      </w:tr>
      <w:tr w:rsidR="00C66AA0" w:rsidTr="00DC05BF">
        <w:trPr>
          <w:trHeight w:val="7042"/>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C66AA0" w:rsidRPr="00A009DB" w:rsidRDefault="00C66AA0" w:rsidP="00DC05BF">
            <w:pPr>
              <w:bidi w:val="0"/>
              <w:ind w:firstLine="720"/>
              <w:rPr>
                <w:rFonts w:ascii="Times New Roman" w:hAnsi="Times New Roman"/>
                <w:b/>
                <w:bCs/>
                <w:sz w:val="18"/>
                <w:szCs w:val="18"/>
              </w:rPr>
            </w:pPr>
            <w:r w:rsidRPr="00A009DB">
              <w:rPr>
                <w:rFonts w:ascii="Times New Roman" w:hAnsi="Times New Roman"/>
                <w:b/>
                <w:bCs/>
                <w:sz w:val="18"/>
                <w:szCs w:val="18"/>
              </w:rPr>
              <w:t>The Investment In Education Is Playing An Important Role In The Economic And Social Field. The Higher The Person Productivity, The Higher His Educative Level.</w:t>
            </w: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So, The Investment In Education Has become Achieving Economic Rewards, As Well As Educative, Social And Human Ones.</w:t>
            </w: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The Education Process Is Complemented The Training Process, And Both Of Them Are Contributed To Build The Human Capital.</w:t>
            </w: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To view The Economic Feasibility During The Investment Period In Education And Experience, The Test And Analysis Is Focused On The Investment At An University Level, At University Of Baghdad, College Of Administration &amp; Economics From The Public Education Sector, And Baghdad College For Economic Sciences From The Private Sector.</w:t>
            </w: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 The Study Has A hypothesis That The Monetary Rewards Rate On Collegial Education In Its Minimum Level Is Higher Than Its Reward Rate In Its Maximum.</w:t>
            </w:r>
          </w:p>
          <w:p w:rsidR="00C66AA0" w:rsidRPr="00A009DB" w:rsidRDefault="00C66AA0" w:rsidP="00DC05BF">
            <w:pPr>
              <w:bidi w:val="0"/>
              <w:rPr>
                <w:rFonts w:ascii="Times New Roman" w:hAnsi="Times New Roman"/>
                <w:b/>
                <w:bCs/>
                <w:sz w:val="18"/>
                <w:szCs w:val="18"/>
              </w:rPr>
            </w:pP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Thus, The Monetary Reward Rate On Collegial Education In The Public Education Sector Lower Than That In The Private Education Sector ".</w:t>
            </w: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 xml:space="preserve">The Measurement Results Show, Using The </w:t>
            </w:r>
            <w:proofErr w:type="spellStart"/>
            <w:r w:rsidRPr="00A009DB">
              <w:rPr>
                <w:rFonts w:ascii="Times New Roman" w:hAnsi="Times New Roman"/>
                <w:b/>
                <w:bCs/>
                <w:sz w:val="18"/>
                <w:szCs w:val="18"/>
              </w:rPr>
              <w:t>Mincer</w:t>
            </w:r>
            <w:proofErr w:type="spellEnd"/>
            <w:r w:rsidRPr="00A009DB">
              <w:rPr>
                <w:rFonts w:ascii="Times New Roman" w:hAnsi="Times New Roman"/>
                <w:b/>
                <w:bCs/>
                <w:sz w:val="18"/>
                <w:szCs w:val="18"/>
              </w:rPr>
              <w:t xml:space="preserve"> Model, That Reward Rate At The Public Sector Is 14% For The Educative Year 2010, At The Public Sector Level As A Whole, While The Reward Rate On Education At Private Education Sector Is Estimated At 9% For The Same Year At The Private Sector Level As A Whole.</w:t>
            </w: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An Experience Has Achieved A Reward Rate 2% For Each Of The Public And Private Education Sectors.</w:t>
            </w:r>
          </w:p>
          <w:p w:rsidR="00C66AA0" w:rsidRPr="00A009DB" w:rsidRDefault="00C66AA0" w:rsidP="00DC05BF">
            <w:pPr>
              <w:bidi w:val="0"/>
              <w:rPr>
                <w:rFonts w:ascii="Times New Roman" w:hAnsi="Times New Roman"/>
                <w:b/>
                <w:bCs/>
                <w:sz w:val="18"/>
                <w:szCs w:val="18"/>
              </w:rPr>
            </w:pP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As Regards The Reward Rate On Different Education Levels, The Secondary Education Level, The Secondary Educative Level, At Public Education Sector, Achieved -12%, Roughly, And -3% At The Collegial Education Level, Up To 20%, At The Higher Education Level.</w:t>
            </w: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At The Private Education Sector, The Secondary Education Level Is Achieved Almost -9%, And -0.8% For The Collegial Education Level, Up To 10% For The Higher Education Level For 2010.</w:t>
            </w:r>
          </w:p>
          <w:p w:rsidR="00C66AA0" w:rsidRPr="00A009DB" w:rsidRDefault="00C66AA0" w:rsidP="00DC05BF">
            <w:pPr>
              <w:bidi w:val="0"/>
              <w:rPr>
                <w:rFonts w:ascii="Times New Roman" w:hAnsi="Times New Roman"/>
                <w:b/>
                <w:bCs/>
                <w:sz w:val="18"/>
                <w:szCs w:val="18"/>
              </w:rPr>
            </w:pPr>
          </w:p>
          <w:p w:rsidR="00C66AA0" w:rsidRPr="00A009DB" w:rsidRDefault="00C66AA0" w:rsidP="00DC05BF">
            <w:pPr>
              <w:bidi w:val="0"/>
              <w:rPr>
                <w:rFonts w:ascii="Times New Roman" w:hAnsi="Times New Roman"/>
                <w:b/>
                <w:bCs/>
                <w:sz w:val="18"/>
                <w:szCs w:val="18"/>
                <w:lang w:val="en-US"/>
              </w:rPr>
            </w:pPr>
            <w:r w:rsidRPr="00A009DB">
              <w:rPr>
                <w:rFonts w:ascii="Times New Roman" w:hAnsi="Times New Roman"/>
                <w:b/>
                <w:bCs/>
                <w:sz w:val="18"/>
                <w:szCs w:val="18"/>
              </w:rPr>
              <w:t>These Rates Don't Follow A Relative Stabile, And This Was Done In Most Countries, Which Were Measured The Reward Rates On Education.</w:t>
            </w:r>
          </w:p>
          <w:p w:rsidR="00C66AA0" w:rsidRPr="00A009DB" w:rsidRDefault="00C66AA0" w:rsidP="00DC05BF">
            <w:pPr>
              <w:bidi w:val="0"/>
              <w:rPr>
                <w:rFonts w:ascii="Times New Roman" w:hAnsi="Times New Roman"/>
                <w:b/>
                <w:bCs/>
                <w:sz w:val="18"/>
                <w:szCs w:val="18"/>
              </w:rPr>
            </w:pPr>
            <w:r w:rsidRPr="00A009DB">
              <w:rPr>
                <w:rFonts w:ascii="Times New Roman" w:hAnsi="Times New Roman"/>
                <w:b/>
                <w:bCs/>
                <w:sz w:val="18"/>
                <w:szCs w:val="18"/>
              </w:rPr>
              <w:t xml:space="preserve">But, These Results Don't Coordinate With The Theoretical Expectation </w:t>
            </w:r>
            <w:proofErr w:type="gramStart"/>
            <w:r w:rsidRPr="00A009DB">
              <w:rPr>
                <w:rFonts w:ascii="Times New Roman" w:hAnsi="Times New Roman"/>
                <w:b/>
                <w:bCs/>
                <w:sz w:val="18"/>
                <w:szCs w:val="18"/>
              </w:rPr>
              <w:t>Nor</w:t>
            </w:r>
            <w:proofErr w:type="gramEnd"/>
            <w:r w:rsidRPr="00A009DB">
              <w:rPr>
                <w:rFonts w:ascii="Times New Roman" w:hAnsi="Times New Roman"/>
                <w:b/>
                <w:bCs/>
                <w:sz w:val="18"/>
                <w:szCs w:val="18"/>
              </w:rPr>
              <w:t xml:space="preserve"> International Criteria.</w:t>
            </w:r>
          </w:p>
          <w:p w:rsidR="00C66AA0" w:rsidRPr="00A009DB" w:rsidRDefault="00C66AA0" w:rsidP="00DC05BF">
            <w:pPr>
              <w:bidi w:val="0"/>
              <w:rPr>
                <w:rFonts w:ascii="Times New Roman" w:hAnsi="Times New Roman"/>
                <w:b/>
                <w:bCs/>
                <w:sz w:val="18"/>
                <w:szCs w:val="18"/>
              </w:rPr>
            </w:pPr>
          </w:p>
          <w:p w:rsidR="00C66AA0" w:rsidRPr="00A009DB" w:rsidRDefault="00C66AA0" w:rsidP="00DC05BF">
            <w:pPr>
              <w:ind w:firstLine="567"/>
              <w:jc w:val="right"/>
              <w:rPr>
                <w:sz w:val="20"/>
                <w:szCs w:val="20"/>
                <w:lang w:val="en-US" w:bidi="ar-IQ"/>
              </w:rPr>
            </w:pPr>
          </w:p>
        </w:tc>
        <w:tc>
          <w:tcPr>
            <w:tcW w:w="2459"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66AA0" w:rsidRDefault="00C66AA0" w:rsidP="00DC05BF">
            <w:pPr>
              <w:spacing w:line="360" w:lineRule="auto"/>
              <w:jc w:val="right"/>
              <w:rPr>
                <w:rFonts w:ascii="Tahoma" w:hAnsi="Tahoma" w:cs="Tahoma"/>
                <w:sz w:val="20"/>
                <w:szCs w:val="20"/>
                <w:rtl/>
                <w:lang w:val="en-US" w:bidi="ar-IQ"/>
              </w:rPr>
            </w:pPr>
          </w:p>
          <w:p w:rsidR="00C66AA0" w:rsidRDefault="00C66AA0" w:rsidP="00DC05BF">
            <w:pPr>
              <w:spacing w:line="360" w:lineRule="auto"/>
              <w:jc w:val="right"/>
              <w:rPr>
                <w:rFonts w:ascii="Tahoma" w:hAnsi="Tahoma" w:cs="Tahoma"/>
                <w:sz w:val="20"/>
                <w:szCs w:val="20"/>
                <w:rtl/>
                <w:lang w:val="en-US" w:bidi="ar-IQ"/>
              </w:rPr>
            </w:pPr>
          </w:p>
          <w:p w:rsidR="00C66AA0" w:rsidRDefault="00C66AA0" w:rsidP="00DC05BF">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AA0"/>
    <w:rsid w:val="00567619"/>
    <w:rsid w:val="00C66A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A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66AA0"/>
  </w:style>
  <w:style w:type="character" w:customStyle="1" w:styleId="shorttext">
    <w:name w:val="short_text"/>
    <w:basedOn w:val="DefaultParagraphFont"/>
    <w:rsid w:val="00C66AA0"/>
  </w:style>
  <w:style w:type="paragraph" w:styleId="BodyText3">
    <w:name w:val="Body Text 3"/>
    <w:basedOn w:val="Normal"/>
    <w:link w:val="BodyText3Char"/>
    <w:rsid w:val="00C66AA0"/>
    <w:pPr>
      <w:spacing w:after="120"/>
    </w:pPr>
    <w:rPr>
      <w:sz w:val="16"/>
      <w:szCs w:val="16"/>
    </w:rPr>
  </w:style>
  <w:style w:type="character" w:customStyle="1" w:styleId="BodyText3Char">
    <w:name w:val="Body Text 3 Char"/>
    <w:basedOn w:val="DefaultParagraphFont"/>
    <w:link w:val="BodyText3"/>
    <w:rsid w:val="00C66AA0"/>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2013-03-25T06:05:00Z</dcterms:created>
  <dcterms:modified xsi:type="dcterms:W3CDTF">2013-03-25T06:06:00Z</dcterms:modified>
</cp:coreProperties>
</file>