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928" w:type="dxa"/>
        <w:jc w:val="center"/>
        <w:tblInd w:w="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91"/>
        <w:gridCol w:w="822"/>
        <w:gridCol w:w="1764"/>
        <w:gridCol w:w="1421"/>
        <w:gridCol w:w="426"/>
        <w:gridCol w:w="1976"/>
        <w:gridCol w:w="19"/>
        <w:gridCol w:w="2809"/>
      </w:tblGrid>
      <w:tr w:rsidR="007B7D2F" w:rsidTr="001D4E98">
        <w:trPr>
          <w:trHeight w:val="486"/>
          <w:jc w:val="center"/>
        </w:trPr>
        <w:tc>
          <w:tcPr>
            <w:tcW w:w="10928" w:type="dxa"/>
            <w:gridSpan w:val="8"/>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FE56FA"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Administration and Economy College</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FE56FA"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Economy</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lang w:val="en-US" w:bidi="ar-IQ"/>
              </w:rPr>
            </w:pPr>
            <w:r w:rsidRPr="0058381F">
              <w:rPr>
                <w:rFonts w:ascii="Tahoma" w:hAnsi="Tahoma" w:cs="Tahoma"/>
                <w:lang w:val="en-US" w:bidi="ar-IQ"/>
              </w:rPr>
              <w:t>Department</w:t>
            </w:r>
          </w:p>
        </w:tc>
      </w:tr>
      <w:tr w:rsidR="00FE56FA" w:rsidRPr="007B7D2F" w:rsidTr="001D4E98">
        <w:trPr>
          <w:trHeight w:hRule="exact" w:val="860"/>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8E64BB">
              <w:rPr>
                <w:sz w:val="32"/>
                <w:szCs w:val="32"/>
                <w:lang w:bidi="ar-IQ"/>
              </w:rPr>
              <w:t xml:space="preserve">Abdul-Jabbar </w:t>
            </w:r>
            <w:proofErr w:type="spellStart"/>
            <w:r w:rsidRPr="008E64BB">
              <w:rPr>
                <w:sz w:val="32"/>
                <w:szCs w:val="32"/>
                <w:lang w:bidi="ar-IQ"/>
              </w:rPr>
              <w:t>Mahmood</w:t>
            </w:r>
            <w:proofErr w:type="spellEnd"/>
            <w:r w:rsidRPr="008E64BB">
              <w:rPr>
                <w:sz w:val="32"/>
                <w:szCs w:val="32"/>
                <w:lang w:bidi="ar-IQ"/>
              </w:rPr>
              <w:t xml:space="preserve"> Fatah</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1D4E98">
        <w:trPr>
          <w:trHeight w:hRule="exact" w:val="615"/>
          <w:jc w:val="center"/>
        </w:trPr>
        <w:tc>
          <w:tcPr>
            <w:tcW w:w="169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00F96" w:rsidP="00441E29">
            <w:pPr>
              <w:jc w:val="center"/>
              <w:rPr>
                <w:rFonts w:ascii="Simplified Arabic" w:hAnsi="Simplified Arabic" w:cs="Simplified Arabic"/>
                <w:b/>
                <w:bCs/>
                <w:sz w:val="22"/>
                <w:szCs w:val="22"/>
                <w:rtl/>
                <w:lang w:val="en-US" w:bidi="ar-IQ"/>
              </w:rPr>
            </w:pPr>
            <w:r w:rsidRPr="00D00F96">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86"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00F96" w:rsidP="00FE56FA">
            <w:pPr>
              <w:rPr>
                <w:rFonts w:ascii="Simplified Arabic" w:hAnsi="Simplified Arabic" w:cs="Simplified Arabic"/>
                <w:b/>
                <w:bCs/>
                <w:sz w:val="22"/>
                <w:szCs w:val="22"/>
                <w:rtl/>
                <w:lang w:bidi="ar-IQ"/>
              </w:rPr>
            </w:pPr>
            <w:r w:rsidRPr="00D00F96">
              <w:rPr>
                <w:rFonts w:ascii="Simplified Arabic" w:hAnsi="Simplified Arabic" w:cs="Simplified Arabic"/>
                <w:b/>
                <w:bCs/>
                <w:noProof/>
                <w:color w:val="333333"/>
                <w:sz w:val="22"/>
                <w:szCs w:val="22"/>
                <w:rtl/>
                <w:lang w:val="en-US"/>
              </w:rPr>
              <w:pict>
                <v:oval id="_x0000_s1027" style="position:absolute;left:0;text-align:left;margin-left:5.7pt;margin-top:-2.9pt;width:21.05pt;height:22.35pt;z-index:251659264;mso-position-horizontal-relative:text;mso-position-vertical-relative:text" fillcolor="white [3201]" strokecolor="black [3200]" strokeweight="1pt">
                  <v:stroke dashstyle="dash"/>
                  <v:shadow color="#868686"/>
                  <v:textbox style="mso-next-textbox:#_x0000_s1027">
                    <w:txbxContent>
                      <w:p w:rsidR="00FE56FA" w:rsidRPr="00FE56FA" w:rsidRDefault="00FE56FA">
                        <w:pPr>
                          <w:rPr>
                            <w:sz w:val="32"/>
                            <w:szCs w:val="32"/>
                            <w:lang w:bidi="ar-IQ"/>
                          </w:rPr>
                        </w:pPr>
                        <w:r w:rsidRPr="00FE56FA">
                          <w:rPr>
                            <w:rFonts w:hint="cs"/>
                            <w:sz w:val="32"/>
                            <w:szCs w:val="32"/>
                            <w:rtl/>
                            <w:lang w:bidi="ar-IQ"/>
                          </w:rPr>
                          <w:t>*</w:t>
                        </w:r>
                      </w:p>
                    </w:txbxContent>
                  </v:textbox>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42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00F96" w:rsidP="00441E29">
            <w:pPr>
              <w:jc w:val="center"/>
              <w:rPr>
                <w:rFonts w:ascii="Simplified Arabic" w:hAnsi="Simplified Arabic" w:cs="Simplified Arabic"/>
                <w:b/>
                <w:bCs/>
                <w:sz w:val="22"/>
                <w:szCs w:val="22"/>
                <w:rtl/>
                <w:lang w:bidi="ar-IQ"/>
              </w:rPr>
            </w:pPr>
            <w:r w:rsidRPr="00D00F96">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02"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D00F96" w:rsidP="00441E29">
            <w:pPr>
              <w:jc w:val="center"/>
              <w:rPr>
                <w:rStyle w:val="hps"/>
                <w:rFonts w:ascii="Simplified Arabic" w:hAnsi="Simplified Arabic" w:cs="Simplified Arabic"/>
                <w:b/>
                <w:bCs/>
                <w:color w:val="333333"/>
                <w:sz w:val="2"/>
                <w:szCs w:val="2"/>
                <w:lang w:val="en-US" w:bidi="ar-IQ"/>
              </w:rPr>
            </w:pPr>
            <w:r w:rsidRPr="00D00F96">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660FE5" w:rsidP="00660FE5">
            <w:pPr>
              <w:tabs>
                <w:tab w:val="right" w:pos="2612"/>
              </w:tabs>
              <w:rPr>
                <w:rFonts w:ascii="Tahoma" w:hAnsi="Tahoma" w:cs="Tahoma"/>
                <w:rtl/>
                <w:lang w:val="en-US" w:bidi="ar-IQ"/>
              </w:rPr>
            </w:pPr>
            <w:r>
              <w:rPr>
                <w:rFonts w:ascii="Tahoma" w:hAnsi="Tahoma" w:cs="Tahoma"/>
                <w:lang w:val="en-US" w:bidi="ar-IQ"/>
              </w:rPr>
              <w:tab/>
            </w:r>
            <w:r w:rsidR="007B5BB1">
              <w:rPr>
                <w:rFonts w:ascii="Tahoma" w:hAnsi="Tahoma" w:cs="Tahoma"/>
                <w:lang w:val="en-US" w:bidi="ar-IQ"/>
              </w:rPr>
              <w:t xml:space="preserve">Career </w:t>
            </w:r>
          </w:p>
        </w:tc>
      </w:tr>
      <w:tr w:rsidR="002729DF" w:rsidRPr="007B7D2F" w:rsidTr="001D4E98">
        <w:trPr>
          <w:trHeight w:hRule="exact" w:val="1730"/>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2729DF" w:rsidRPr="001D4E98" w:rsidRDefault="001D4E98" w:rsidP="008D4B34">
            <w:pPr>
              <w:bidi w:val="0"/>
              <w:rPr>
                <w:sz w:val="32"/>
                <w:szCs w:val="32"/>
                <w:lang w:bidi="ar-IQ"/>
              </w:rPr>
            </w:pPr>
            <w:r w:rsidRPr="001D4E98">
              <w:rPr>
                <w:rFonts w:ascii="Arial" w:eastAsia="Times New Roman" w:hAnsi="Arial"/>
                <w:color w:val="333333"/>
                <w:sz w:val="32"/>
                <w:szCs w:val="32"/>
                <w:lang/>
              </w:rPr>
              <w:t xml:space="preserve">The global financial crisis and the role of war and as solutions </w:t>
            </w:r>
            <w:proofErr w:type="spellStart"/>
            <w:r w:rsidRPr="001D4E98">
              <w:rPr>
                <w:rFonts w:ascii="Arial" w:eastAsia="Times New Roman" w:hAnsi="Arial"/>
                <w:color w:val="333333"/>
                <w:sz w:val="32"/>
                <w:szCs w:val="32"/>
                <w:lang/>
              </w:rPr>
              <w:t>Tnamitha</w:t>
            </w:r>
            <w:proofErr w:type="spellEnd"/>
            <w:r w:rsidRPr="001D4E98">
              <w:rPr>
                <w:rFonts w:ascii="Arial" w:eastAsia="Times New Roman" w:hAnsi="Arial"/>
                <w:color w:val="333333"/>
                <w:sz w:val="32"/>
                <w:szCs w:val="32"/>
                <w:lang/>
              </w:rPr>
              <w:br/>
              <w:t>"Roots of objectivity and the legal possibility of a crisis in economic thought</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1D4E98">
        <w:trPr>
          <w:trHeight w:val="526"/>
          <w:jc w:val="center"/>
        </w:trPr>
        <w:tc>
          <w:tcPr>
            <w:tcW w:w="2513" w:type="dxa"/>
            <w:gridSpan w:val="2"/>
            <w:tcBorders>
              <w:top w:val="threeDEmboss" w:sz="18" w:space="0" w:color="auto"/>
              <w:left w:val="threeDEmboss" w:sz="18" w:space="0" w:color="auto"/>
              <w:bottom w:val="threeDEmboss" w:sz="18" w:space="0" w:color="auto"/>
              <w:right w:val="threeDEmboss" w:sz="18" w:space="0" w:color="auto"/>
            </w:tcBorders>
          </w:tcPr>
          <w:p w:rsidR="002729DF" w:rsidRPr="00D7176F" w:rsidRDefault="00D00F96" w:rsidP="00F30E9B">
            <w:pPr>
              <w:jc w:val="center"/>
              <w:rPr>
                <w:rtl/>
                <w:lang w:val="en-US" w:bidi="ar-IQ"/>
              </w:rPr>
            </w:pPr>
            <w:r>
              <w:rPr>
                <w:noProof/>
                <w:rtl/>
                <w:lang w:val="en-US"/>
              </w:rPr>
              <w:pict>
                <v:oval id="_x0000_s1063" style="position:absolute;left:0;text-align:left;margin-left:-.9pt;margin-top:2.7pt;width:20.6pt;height:19.7pt;z-index:251663360;mso-position-horizontal-relative:text;mso-position-vertical-relative:text" fillcolor="white [3201]" strokecolor="black [3200]" strokeweight="1pt">
                  <v:stroke dashstyle="dash"/>
                  <v:shadow color="#868686"/>
                  <v:textbox style="mso-next-textbox:#_x0000_s1063">
                    <w:txbxContent>
                      <w:p w:rsidR="002015D8" w:rsidRDefault="002015D8">
                        <w:pPr>
                          <w:rPr>
                            <w:lang w:bidi="ar-IQ"/>
                          </w:rPr>
                        </w:pPr>
                        <w:r>
                          <w:rPr>
                            <w:rFonts w:hint="cs"/>
                            <w:rtl/>
                            <w:lang w:bidi="ar-IQ"/>
                          </w:rPr>
                          <w:t>*</w:t>
                        </w:r>
                      </w:p>
                    </w:txbxContent>
                  </v:textbox>
                  <w10:wrap anchorx="page"/>
                </v:oval>
              </w:pict>
            </w:r>
            <w:r w:rsidR="00F30E9B">
              <w:rPr>
                <w:lang w:val="en-US" w:bidi="ar-IQ"/>
              </w:rPr>
              <w:t>Single</w:t>
            </w:r>
          </w:p>
        </w:tc>
        <w:tc>
          <w:tcPr>
            <w:tcW w:w="3611" w:type="dxa"/>
            <w:gridSpan w:val="3"/>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976"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00F96" w:rsidP="008D4B34">
            <w:pPr>
              <w:rPr>
                <w:rtl/>
                <w:lang w:val="en-US" w:bidi="ar-IQ"/>
              </w:rPr>
            </w:pPr>
            <w:r>
              <w:rPr>
                <w:noProof/>
                <w:rtl/>
                <w:lang w:val="en-US"/>
              </w:rPr>
              <w:pict>
                <v:oval id="_x0000_s1062" style="position:absolute;left:0;text-align:left;margin-left:7.2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1D4E98">
        <w:trPr>
          <w:trHeight w:val="357"/>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BC4E9A" w:rsidRPr="001D4E98" w:rsidRDefault="001D4E98" w:rsidP="001D4E98">
            <w:pPr>
              <w:bidi w:val="0"/>
              <w:rPr>
                <w:sz w:val="28"/>
                <w:szCs w:val="28"/>
                <w:lang w:bidi="ar-IQ"/>
              </w:rPr>
            </w:pPr>
            <w:r w:rsidRPr="001D4E98">
              <w:rPr>
                <w:rFonts w:ascii="Arial" w:eastAsia="Times New Roman" w:hAnsi="Arial"/>
                <w:color w:val="333333"/>
                <w:sz w:val="28"/>
                <w:szCs w:val="28"/>
                <w:lang/>
              </w:rPr>
              <w:t>Baghdad University - Faculty of Business and Economics</w:t>
            </w:r>
            <w:r w:rsidRPr="001D4E98">
              <w:rPr>
                <w:rFonts w:ascii="Arial" w:eastAsia="Times New Roman" w:hAnsi="Arial"/>
                <w:color w:val="333333"/>
                <w:sz w:val="28"/>
                <w:szCs w:val="28"/>
                <w:lang/>
              </w:rPr>
              <w:br/>
              <w:t>  </w:t>
            </w:r>
            <w:r w:rsidRPr="001D4E98">
              <w:rPr>
                <w:rFonts w:ascii="Arial" w:eastAsia="Times New Roman" w:hAnsi="Arial"/>
                <w:color w:val="333333"/>
                <w:sz w:val="28"/>
                <w:szCs w:val="28"/>
                <w:lang/>
              </w:rPr>
              <w:br/>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1D4E98">
        <w:trPr>
          <w:trHeight w:hRule="exact" w:val="13565"/>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11E73" w:rsidRDefault="00F11E73" w:rsidP="00F11E73">
            <w:pPr>
              <w:shd w:val="clear" w:color="auto" w:fill="F5F5F5"/>
              <w:bidi w:val="0"/>
              <w:jc w:val="both"/>
              <w:textAlignment w:val="top"/>
              <w:rPr>
                <w:rFonts w:ascii="Arial" w:eastAsia="Times New Roman" w:hAnsi="Arial" w:cs="Arial"/>
                <w:b/>
                <w:bCs/>
                <w:color w:val="333333"/>
                <w:sz w:val="28"/>
                <w:szCs w:val="28"/>
              </w:rPr>
            </w:pPr>
          </w:p>
          <w:p w:rsidR="008F45F0" w:rsidRDefault="00F11E73" w:rsidP="00A36B39">
            <w:pPr>
              <w:shd w:val="clear" w:color="auto" w:fill="F5F5F5"/>
              <w:bidi w:val="0"/>
              <w:jc w:val="both"/>
              <w:textAlignment w:val="top"/>
              <w:rPr>
                <w:b/>
                <w:bCs/>
                <w:sz w:val="28"/>
                <w:szCs w:val="28"/>
                <w:lang w:bidi="ar-IQ"/>
              </w:rPr>
            </w:pPr>
            <w:r>
              <w:rPr>
                <w:b/>
                <w:bCs/>
                <w:sz w:val="28"/>
                <w:szCs w:val="28"/>
                <w:lang w:bidi="ar-IQ"/>
              </w:rPr>
              <w:t>Abstract:</w:t>
            </w:r>
          </w:p>
          <w:p w:rsidR="001D4E98" w:rsidRPr="00644EA3" w:rsidRDefault="00F11E73" w:rsidP="001D4E98">
            <w:pPr>
              <w:shd w:val="clear" w:color="auto" w:fill="F5F5F5"/>
              <w:bidi w:val="0"/>
              <w:jc w:val="both"/>
              <w:textAlignment w:val="top"/>
              <w:rPr>
                <w:rFonts w:ascii="Arial" w:eastAsia="Times New Roman" w:hAnsi="Arial" w:cs="Arial"/>
                <w:b/>
                <w:bCs/>
                <w:color w:val="333333"/>
                <w:sz w:val="28"/>
                <w:szCs w:val="28"/>
                <w:lang w:val="en-US" w:bidi="ar-IQ"/>
              </w:rPr>
            </w:pPr>
            <w:r>
              <w:rPr>
                <w:b/>
                <w:bCs/>
                <w:sz w:val="28"/>
                <w:szCs w:val="28"/>
                <w:lang w:bidi="ar-IQ"/>
              </w:rPr>
              <w:t xml:space="preserve"> </w:t>
            </w:r>
          </w:p>
          <w:p w:rsidR="008F45F0" w:rsidRPr="008F45F0" w:rsidRDefault="00644EA3" w:rsidP="008F45F0">
            <w:pPr>
              <w:shd w:val="clear" w:color="auto" w:fill="F5F5F5"/>
              <w:bidi w:val="0"/>
              <w:jc w:val="both"/>
              <w:textAlignment w:val="top"/>
              <w:rPr>
                <w:rFonts w:ascii="Arial" w:eastAsia="Times New Roman" w:hAnsi="Arial" w:cs="Arial"/>
                <w:b/>
                <w:bCs/>
                <w:color w:val="888888"/>
                <w:sz w:val="28"/>
                <w:szCs w:val="28"/>
                <w:lang w:bidi="ar-IQ"/>
              </w:rPr>
            </w:pPr>
            <w:r w:rsidRPr="00644EA3">
              <w:rPr>
                <w:rFonts w:ascii="Arial" w:eastAsia="Times New Roman" w:hAnsi="Arial"/>
                <w:b/>
                <w:bCs/>
                <w:color w:val="333333"/>
                <w:sz w:val="28"/>
                <w:szCs w:val="28"/>
                <w:lang/>
              </w:rPr>
              <w:t xml:space="preserve">Understanding of the fact that the crisis is of a technical side the genetics of the system has in </w:t>
            </w:r>
            <w:proofErr w:type="spellStart"/>
            <w:r w:rsidRPr="00644EA3">
              <w:rPr>
                <w:rFonts w:ascii="Arial" w:eastAsia="Times New Roman" w:hAnsi="Arial"/>
                <w:b/>
                <w:bCs/>
                <w:color w:val="333333"/>
                <w:sz w:val="28"/>
                <w:szCs w:val="28"/>
                <w:lang/>
              </w:rPr>
              <w:t>Ahinath</w:t>
            </w:r>
            <w:proofErr w:type="spellEnd"/>
            <w:r w:rsidRPr="00644EA3">
              <w:rPr>
                <w:rFonts w:ascii="Arial" w:eastAsia="Times New Roman" w:hAnsi="Arial"/>
                <w:b/>
                <w:bCs/>
                <w:color w:val="333333"/>
                <w:sz w:val="28"/>
                <w:szCs w:val="28"/>
                <w:lang/>
              </w:rPr>
              <w:t xml:space="preserve"> a high hatching derivatives. This system, which increasingly sterile and destructive increases the ability to create money, credit / derivatives, and all the more closer to understand this aspect when dropped in the hands of those ready-made in the academic descriptions lack of oversight and supervision, concentration of risk </w:t>
            </w:r>
            <w:proofErr w:type="gramStart"/>
            <w:r w:rsidRPr="00644EA3">
              <w:rPr>
                <w:rFonts w:ascii="Arial" w:eastAsia="Times New Roman" w:hAnsi="Arial"/>
                <w:b/>
                <w:bCs/>
                <w:color w:val="333333"/>
                <w:sz w:val="28"/>
                <w:szCs w:val="28"/>
                <w:lang/>
              </w:rPr>
              <w:t>that ,</w:t>
            </w:r>
            <w:proofErr w:type="gramEnd"/>
            <w:r w:rsidRPr="00644EA3">
              <w:rPr>
                <w:rFonts w:ascii="Arial" w:eastAsia="Times New Roman" w:hAnsi="Arial"/>
                <w:b/>
                <w:bCs/>
                <w:color w:val="333333"/>
                <w:sz w:val="28"/>
                <w:szCs w:val="28"/>
                <w:lang/>
              </w:rPr>
              <w:t xml:space="preserve">......... etc. addressed in the literature are common in most of the proposals of the economy, accounting professors, and interested financiers and bankers. The confusion which is a lot, is the lack of distinction between the issuance of stocks and bonds and the transition towards the so-called securitization, which provided her condition is necessary, not the balance of payments deficit the U.S., only a </w:t>
            </w:r>
            <w:proofErr w:type="spellStart"/>
            <w:r w:rsidRPr="00644EA3">
              <w:rPr>
                <w:rFonts w:ascii="Arial" w:eastAsia="Times New Roman" w:hAnsi="Arial"/>
                <w:b/>
                <w:bCs/>
                <w:color w:val="333333"/>
                <w:sz w:val="28"/>
                <w:szCs w:val="28"/>
                <w:lang/>
              </w:rPr>
              <w:t>Maervdah</w:t>
            </w:r>
            <w:proofErr w:type="spellEnd"/>
            <w:r w:rsidRPr="00644EA3">
              <w:rPr>
                <w:rFonts w:ascii="Arial" w:eastAsia="Times New Roman" w:hAnsi="Arial"/>
                <w:b/>
                <w:bCs/>
                <w:color w:val="333333"/>
                <w:sz w:val="28"/>
                <w:szCs w:val="28"/>
                <w:lang/>
              </w:rPr>
              <w:t xml:space="preserve"> many </w:t>
            </w:r>
            <w:proofErr w:type="spellStart"/>
            <w:r w:rsidRPr="00644EA3">
              <w:rPr>
                <w:rFonts w:ascii="Arial" w:eastAsia="Times New Roman" w:hAnsi="Arial"/>
                <w:b/>
                <w:bCs/>
                <w:color w:val="333333"/>
                <w:sz w:val="28"/>
                <w:szCs w:val="28"/>
                <w:lang/>
              </w:rPr>
              <w:t>Alncodean</w:t>
            </w:r>
            <w:proofErr w:type="spellEnd"/>
            <w:r w:rsidRPr="00644EA3">
              <w:rPr>
                <w:rFonts w:ascii="Arial" w:eastAsia="Times New Roman" w:hAnsi="Arial"/>
                <w:b/>
                <w:bCs/>
                <w:color w:val="333333"/>
                <w:sz w:val="28"/>
                <w:szCs w:val="28"/>
                <w:lang/>
              </w:rPr>
              <w:t xml:space="preserve"> who attribute it to the movement of assets, the European in an important part of them, but unlink the dollar with gold, and out of the gold standard on 15 / August / 1971 contained in the speech as President Nixon with ten points, namely the abolition of the convertibility of the dollar into gold, the expulsion of gold from the international transactions, the liquidation of the assets of the Fund and the World Bank's gold, and the imposition of tax on imports U.S. by 10%. important thing is that the measure of one of the largest country in the world, which provided the necessary condition for the Liberation of the dollar, as do other currencies of cover, and thus available for the issuance of money as a possibility without limitations (except </w:t>
            </w:r>
            <w:proofErr w:type="spellStart"/>
            <w:r w:rsidRPr="00644EA3">
              <w:rPr>
                <w:rFonts w:ascii="Arial" w:eastAsia="Times New Roman" w:hAnsi="Arial"/>
                <w:b/>
                <w:bCs/>
                <w:color w:val="333333"/>
                <w:sz w:val="28"/>
                <w:szCs w:val="28"/>
                <w:lang/>
              </w:rPr>
              <w:t>Mataref</w:t>
            </w:r>
            <w:proofErr w:type="spellEnd"/>
            <w:r w:rsidRPr="00644EA3">
              <w:rPr>
                <w:rFonts w:ascii="Arial" w:eastAsia="Times New Roman" w:hAnsi="Arial"/>
                <w:b/>
                <w:bCs/>
                <w:color w:val="333333"/>
                <w:sz w:val="28"/>
                <w:szCs w:val="28"/>
                <w:lang/>
              </w:rPr>
              <w:t xml:space="preserve"> by the traditional thought of the fears and dangers of ), that the possibility remained dormant until the Find climate appropriate subtle Kissinger when </w:t>
            </w:r>
            <w:proofErr w:type="spellStart"/>
            <w:r w:rsidRPr="00644EA3">
              <w:rPr>
                <w:rFonts w:ascii="Arial" w:eastAsia="Times New Roman" w:hAnsi="Arial"/>
                <w:b/>
                <w:bCs/>
                <w:color w:val="333333"/>
                <w:sz w:val="28"/>
                <w:szCs w:val="28"/>
                <w:lang/>
              </w:rPr>
              <w:t>Petribat</w:t>
            </w:r>
            <w:proofErr w:type="spellEnd"/>
            <w:r w:rsidRPr="00644EA3">
              <w:rPr>
                <w:rFonts w:ascii="Arial" w:eastAsia="Times New Roman" w:hAnsi="Arial"/>
                <w:b/>
                <w:bCs/>
                <w:color w:val="333333"/>
                <w:sz w:val="28"/>
                <w:szCs w:val="28"/>
                <w:lang/>
              </w:rPr>
              <w:t xml:space="preserve"> raise the price of oil under the noise of the nationalization of a number of countries in the world and their role in raising oil prices of $ 6 a barrel to $ 36, which was designed to rotate the dollars parked on the chest of Europe for the benefit of </w:t>
            </w:r>
            <w:r w:rsidRPr="00644EA3">
              <w:rPr>
                <w:rFonts w:ascii="Arial" w:eastAsia="Times New Roman" w:hAnsi="Arial"/>
                <w:b/>
                <w:bCs/>
                <w:color w:val="333333"/>
                <w:sz w:val="28"/>
                <w:szCs w:val="28"/>
                <w:shd w:val="clear" w:color="auto" w:fill="EBEFF9"/>
                <w:lang/>
              </w:rPr>
              <w:t xml:space="preserve">USA, which has consented to the Europe Surprised, she listens to Kissinger's meeting with French Foreign Minister at the time, he says, in response to a question, the French minister what you are doing ..? </w:t>
            </w:r>
            <w:r w:rsidRPr="00644EA3">
              <w:rPr>
                <w:rFonts w:ascii="Arial" w:eastAsia="Times New Roman" w:hAnsi="Arial"/>
                <w:b/>
                <w:bCs/>
                <w:color w:val="333333"/>
                <w:sz w:val="28"/>
                <w:szCs w:val="28"/>
                <w:lang/>
              </w:rPr>
              <w:t>(The time of cheap oil is over. And ended with the Marshall Plan</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rsidP="00131309">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73" w:rsidRDefault="00ED6073" w:rsidP="002729DF">
      <w:r>
        <w:separator/>
      </w:r>
    </w:p>
  </w:endnote>
  <w:endnote w:type="continuationSeparator" w:id="0">
    <w:p w:rsidR="00ED6073" w:rsidRDefault="00ED607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73" w:rsidRDefault="00ED6073" w:rsidP="002729DF">
      <w:r>
        <w:separator/>
      </w:r>
    </w:p>
  </w:footnote>
  <w:footnote w:type="continuationSeparator" w:id="0">
    <w:p w:rsidR="00ED6073" w:rsidRDefault="00ED607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7B7D2F"/>
    <w:rsid w:val="000F02DD"/>
    <w:rsid w:val="001147B3"/>
    <w:rsid w:val="00131309"/>
    <w:rsid w:val="00142253"/>
    <w:rsid w:val="001D4E98"/>
    <w:rsid w:val="002015D8"/>
    <w:rsid w:val="00261579"/>
    <w:rsid w:val="002729DF"/>
    <w:rsid w:val="002A343C"/>
    <w:rsid w:val="003266CE"/>
    <w:rsid w:val="00326EB1"/>
    <w:rsid w:val="0034265E"/>
    <w:rsid w:val="00422F07"/>
    <w:rsid w:val="00441E29"/>
    <w:rsid w:val="0047465E"/>
    <w:rsid w:val="004E248F"/>
    <w:rsid w:val="0058381F"/>
    <w:rsid w:val="005E4289"/>
    <w:rsid w:val="00644EA3"/>
    <w:rsid w:val="00660FE5"/>
    <w:rsid w:val="00681C2C"/>
    <w:rsid w:val="00735498"/>
    <w:rsid w:val="00760FB6"/>
    <w:rsid w:val="007B5BB1"/>
    <w:rsid w:val="007B7D2F"/>
    <w:rsid w:val="008137AB"/>
    <w:rsid w:val="0082234F"/>
    <w:rsid w:val="00834405"/>
    <w:rsid w:val="008D1247"/>
    <w:rsid w:val="008D4B34"/>
    <w:rsid w:val="008F45F0"/>
    <w:rsid w:val="0091286A"/>
    <w:rsid w:val="00925124"/>
    <w:rsid w:val="00965464"/>
    <w:rsid w:val="00967084"/>
    <w:rsid w:val="00A36B39"/>
    <w:rsid w:val="00A46A3B"/>
    <w:rsid w:val="00A910E0"/>
    <w:rsid w:val="00AD7875"/>
    <w:rsid w:val="00BB19AB"/>
    <w:rsid w:val="00BC4E9A"/>
    <w:rsid w:val="00BF7696"/>
    <w:rsid w:val="00C3725A"/>
    <w:rsid w:val="00C54102"/>
    <w:rsid w:val="00D00F96"/>
    <w:rsid w:val="00D21979"/>
    <w:rsid w:val="00D7176F"/>
    <w:rsid w:val="00D81EAA"/>
    <w:rsid w:val="00DA1ADF"/>
    <w:rsid w:val="00DD28B0"/>
    <w:rsid w:val="00E63900"/>
    <w:rsid w:val="00E70239"/>
    <w:rsid w:val="00E70255"/>
    <w:rsid w:val="00EA203A"/>
    <w:rsid w:val="00ED6073"/>
    <w:rsid w:val="00F11E73"/>
    <w:rsid w:val="00F30E9B"/>
    <w:rsid w:val="00F857B8"/>
    <w:rsid w:val="00FE5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C2CC-7D25-4C3D-9560-213EE69B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روتانا</cp:lastModifiedBy>
  <cp:revision>26</cp:revision>
  <cp:lastPrinted>2011-11-23T07:24:00Z</cp:lastPrinted>
  <dcterms:created xsi:type="dcterms:W3CDTF">2011-10-21T12:27:00Z</dcterms:created>
  <dcterms:modified xsi:type="dcterms:W3CDTF">2012-01-22T20:29:00Z</dcterms:modified>
</cp:coreProperties>
</file>