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3A5491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CA2DBC" w:rsidTr="00CA2DBC">
        <w:trPr>
          <w:trHeight w:val="455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  <w:vAlign w:val="center"/>
          </w:tcPr>
          <w:p w:rsidR="00CA2DBC" w:rsidRPr="00457D57" w:rsidRDefault="00CA2DBC" w:rsidP="00CA2D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 / كلية الادارة والاقتصاد</w:t>
            </w:r>
          </w:p>
        </w:tc>
      </w:tr>
      <w:tr w:rsidR="00CA2DBC" w:rsidTr="00CA2DBC">
        <w:trPr>
          <w:trHeight w:val="465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  <w:vAlign w:val="center"/>
          </w:tcPr>
          <w:p w:rsidR="00CA2DBC" w:rsidRPr="00F9429B" w:rsidRDefault="00CA2DBC" w:rsidP="00CA2D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 w:rsidRPr="00457D5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CA735C" w:rsidTr="00CA2DBC">
        <w:trPr>
          <w:trHeight w:val="462"/>
        </w:trPr>
        <w:tc>
          <w:tcPr>
            <w:tcW w:w="350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CA735C" w:rsidRPr="0013598D" w:rsidRDefault="00CA2DB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نظرية القرارات الاحصائية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CA2D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CA2D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 الفصل الاول /</w:t>
            </w:r>
            <w:r w:rsidR="005A37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  <w:vAlign w:val="center"/>
          </w:tcPr>
          <w:p w:rsidR="00CA2DBC" w:rsidRPr="00DB131F" w:rsidRDefault="005A3714" w:rsidP="005A371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 w:rsidR="00CA2D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CA2DBC" w:rsidTr="004272BE">
        <w:trPr>
          <w:trHeight w:val="462"/>
        </w:trPr>
        <w:tc>
          <w:tcPr>
            <w:tcW w:w="3503" w:type="dxa"/>
          </w:tcPr>
          <w:p w:rsidR="00CA2DBC" w:rsidRPr="0013598D" w:rsidRDefault="00CA2DBC" w:rsidP="00CA2DBC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  <w:vAlign w:val="center"/>
          </w:tcPr>
          <w:p w:rsidR="00CA2DBC" w:rsidRPr="00DB131F" w:rsidRDefault="00CA2DBC" w:rsidP="005A371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20/</w:t>
            </w:r>
            <w:r w:rsidR="005A37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bookmarkStart w:id="0" w:name="_GoBack"/>
            <w:bookmarkEnd w:id="0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5A37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CA735C" w:rsidTr="00CA2DBC">
        <w:trPr>
          <w:trHeight w:val="455"/>
        </w:trPr>
        <w:tc>
          <w:tcPr>
            <w:tcW w:w="9016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2DBC" w:rsidTr="00CA2DBC">
        <w:trPr>
          <w:trHeight w:val="455"/>
        </w:trPr>
        <w:tc>
          <w:tcPr>
            <w:tcW w:w="9016" w:type="dxa"/>
            <w:gridSpan w:val="2"/>
          </w:tcPr>
          <w:p w:rsidR="00CA2DBC" w:rsidRPr="00CA2DBC" w:rsidRDefault="00FA4AD5" w:rsidP="00FA4AD5">
            <w:pPr>
              <w:bidi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التعرف على معنى القرار الإحصائي</w:t>
            </w:r>
            <w:r w:rsidRPr="00D4446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، وكيفية أيجاد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المنافع والخسائر على ضوء معرفة حالة الطبيعة</w:t>
            </w:r>
            <w:r w:rsidRPr="00D4446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والتعرف على الطرائق البيزية وغير البيزية في التقديرات وبناء أسلوب اختبار إحصائي</w:t>
            </w:r>
            <w:r w:rsidRPr="00D4446A">
              <w:rPr>
                <w:rFonts w:cs="Simplified Arabic" w:hint="cs"/>
                <w:b/>
                <w:bCs/>
                <w:sz w:val="26"/>
                <w:szCs w:val="26"/>
                <w:rtl/>
              </w:rPr>
              <w:t>.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ويتم التطرق الى اسلوب بيز التجريبي لمجموعة متنوعة من التوزيعات الاحتمالية للمتغيرات المتقطعة أو المستمرة.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FA4AD5">
        <w:trPr>
          <w:trHeight w:val="516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FA4AD5">
        <w:trPr>
          <w:trHeight w:val="915"/>
        </w:trPr>
        <w:tc>
          <w:tcPr>
            <w:tcW w:w="9016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2B7D25" w:rsidRPr="00A9320D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2B7D25" w:rsidTr="00FA4AD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7D25" w:rsidTr="00FA4AD5">
        <w:trPr>
          <w:trHeight w:val="511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A4AD5">
        <w:trPr>
          <w:trHeight w:val="452"/>
        </w:trPr>
        <w:tc>
          <w:tcPr>
            <w:tcW w:w="9016" w:type="dxa"/>
          </w:tcPr>
          <w:p w:rsidR="002B7D25" w:rsidRDefault="00CA2DBC" w:rsidP="00CA2DBC">
            <w:pPr>
              <w:bidi/>
              <w:rPr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استخدام اسلوب المحاضرة والمناقشة.</w:t>
            </w:r>
          </w:p>
        </w:tc>
      </w:tr>
      <w:tr w:rsidR="002B7D25" w:rsidTr="00FA4AD5">
        <w:trPr>
          <w:trHeight w:val="553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A4AD5">
        <w:trPr>
          <w:trHeight w:val="423"/>
        </w:trPr>
        <w:tc>
          <w:tcPr>
            <w:tcW w:w="9016" w:type="dxa"/>
          </w:tcPr>
          <w:p w:rsidR="002B7D25" w:rsidRDefault="00CA2DBC" w:rsidP="00CA2DBC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امتحان لغرض التقييم</w:t>
            </w:r>
            <w:r>
              <w:rPr>
                <w:rFonts w:hint="cs"/>
                <w:rtl/>
              </w:rPr>
              <w:t>.</w:t>
            </w:r>
          </w:p>
        </w:tc>
      </w:tr>
      <w:tr w:rsidR="002B7D25" w:rsidTr="00FA4AD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FA4AD5" w:rsidTr="00FA4AD5">
        <w:trPr>
          <w:trHeight w:val="485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FA4AD5" w:rsidTr="00FA4AD5">
        <w:trPr>
          <w:trHeight w:val="497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اسلوب المحاضرة والمناقشة.</w:t>
            </w:r>
          </w:p>
        </w:tc>
      </w:tr>
      <w:tr w:rsidR="00FA4AD5" w:rsidTr="00FA4AD5">
        <w:trPr>
          <w:trHeight w:val="567"/>
        </w:trPr>
        <w:tc>
          <w:tcPr>
            <w:tcW w:w="9016" w:type="dxa"/>
          </w:tcPr>
          <w:p w:rsidR="00FA4AD5" w:rsidRDefault="00FA4AD5" w:rsidP="00FA4AD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A4AD5">
        <w:trPr>
          <w:trHeight w:val="398"/>
        </w:trPr>
        <w:tc>
          <w:tcPr>
            <w:tcW w:w="9016" w:type="dxa"/>
          </w:tcPr>
          <w:p w:rsidR="002B7D25" w:rsidRDefault="00FA4AD5" w:rsidP="00FB1A10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امتحان لغرض التقييم</w:t>
            </w:r>
            <w:r>
              <w:rPr>
                <w:rFonts w:hint="cs"/>
                <w:rtl/>
              </w:rPr>
              <w:t>.</w:t>
            </w:r>
          </w:p>
        </w:tc>
      </w:tr>
    </w:tbl>
    <w:p w:rsidR="003A5491" w:rsidRDefault="003A5491" w:rsidP="002B7D25">
      <w:pPr>
        <w:jc w:val="right"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 xml:space="preserve">المهارات العامة </w:t>
      </w:r>
      <w:r w:rsidR="003A5491">
        <w:rPr>
          <w:rFonts w:hint="cs"/>
          <w:rtl/>
          <w:lang w:bidi="ar-IQ"/>
        </w:rPr>
        <w:t>والتأهيلية</w:t>
      </w:r>
      <w:r>
        <w:rPr>
          <w:rFonts w:hint="cs"/>
          <w:rtl/>
          <w:lang w:bidi="ar-IQ"/>
        </w:rPr>
        <w:t xml:space="preserve"> المنقولة (المهارات الاخرى المتعلقة بقابلية التوظيف والتطور الشخصي)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</w:tblGrid>
      <w:tr w:rsidR="002B7D25" w:rsidTr="00FB1A10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FB1A10">
        <w:trPr>
          <w:trHeight w:val="551"/>
        </w:trPr>
        <w:tc>
          <w:tcPr>
            <w:tcW w:w="154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43" w:type="dxa"/>
          </w:tcPr>
          <w:p w:rsidR="002B7D25" w:rsidRDefault="002B7D25" w:rsidP="006802D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F36863" w:rsidTr="009162D3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bidi/>
              <w:jc w:val="center"/>
              <w:rPr>
                <w:rtl/>
                <w:lang w:bidi="ar-IQ"/>
              </w:rPr>
            </w:pPr>
            <w:r w:rsidRPr="00FA4AD5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أهمية القرارات الإحصائية</w:t>
            </w:r>
          </w:p>
        </w:tc>
        <w:tc>
          <w:tcPr>
            <w:tcW w:w="1543" w:type="dxa"/>
            <w:vAlign w:val="center"/>
          </w:tcPr>
          <w:p w:rsidR="00F36863" w:rsidRPr="006802DF" w:rsidRDefault="00F36863" w:rsidP="00F36863">
            <w:pPr>
              <w:jc w:val="center"/>
              <w:rPr>
                <w:b/>
                <w:bCs/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المقدمة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CE744E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حالة الطبيعة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والمعلمة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5766ED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المقدمة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CE744E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دوال المنفعة والخسارة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5766ED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المقدمة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9162D3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معيار الحد الأدنى لأعلى خسارة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معايير غير العشوائية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9F124E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معيار لإبلاس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8F694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معايير غير العشوائية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9F124E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دالة الندم ومعيار سافاج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8F694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معايير غير العشوائية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9F124E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حسب معيار هوروز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8F694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معايير غير العشوائية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9162D3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حل تمارين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</w:tr>
      <w:tr w:rsidR="00F36863" w:rsidTr="009162D3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الامتحان الأول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</w:tr>
      <w:tr w:rsidR="00F36863" w:rsidTr="009162D3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مقارنة بين الاستدلال التقليدي و الاستدلال البيزي</w:t>
            </w:r>
          </w:p>
        </w:tc>
        <w:tc>
          <w:tcPr>
            <w:tcW w:w="1543" w:type="dxa"/>
            <w:vAlign w:val="center"/>
          </w:tcPr>
          <w:p w:rsidR="00F36863" w:rsidRPr="006802DF" w:rsidRDefault="00F36863" w:rsidP="00F36863">
            <w:pPr>
              <w:jc w:val="center"/>
              <w:rPr>
                <w:b/>
                <w:bCs/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نظرية بيز في القرارات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C61F1C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التوزيع السابق للمعلمة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C4B8F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نظرية بيز في القرارات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C61F1C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التوزيع اللاحق للمعلمة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C4B8F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نظرية بيز في القرارات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F36863" w:rsidTr="00C61F1C">
        <w:trPr>
          <w:trHeight w:val="547"/>
        </w:trPr>
        <w:tc>
          <w:tcPr>
            <w:tcW w:w="1542" w:type="dxa"/>
          </w:tcPr>
          <w:p w:rsidR="00F36863" w:rsidRDefault="00F36863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F36863" w:rsidRPr="00FA4AD5" w:rsidRDefault="00F36863" w:rsidP="00F3686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القرار غير المسموح به</w:t>
            </w:r>
          </w:p>
        </w:tc>
        <w:tc>
          <w:tcPr>
            <w:tcW w:w="1543" w:type="dxa"/>
          </w:tcPr>
          <w:p w:rsidR="00F36863" w:rsidRDefault="00F36863" w:rsidP="00F36863">
            <w:pPr>
              <w:jc w:val="center"/>
            </w:pPr>
            <w:r w:rsidRPr="00FC4B8F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نظرية بيز في القرارات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36863" w:rsidRPr="00F36863" w:rsidRDefault="00F36863" w:rsidP="00F36863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والواجب</w:t>
            </w:r>
          </w:p>
        </w:tc>
      </w:tr>
      <w:tr w:rsidR="006802DF" w:rsidTr="009162D3">
        <w:trPr>
          <w:trHeight w:val="547"/>
        </w:trPr>
        <w:tc>
          <w:tcPr>
            <w:tcW w:w="1542" w:type="dxa"/>
          </w:tcPr>
          <w:p w:rsidR="006802DF" w:rsidRDefault="006802DF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6802DF" w:rsidRPr="00FA4AD5" w:rsidRDefault="006802DF" w:rsidP="006802D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حل تمارين</w:t>
            </w:r>
          </w:p>
        </w:tc>
        <w:tc>
          <w:tcPr>
            <w:tcW w:w="1543" w:type="dxa"/>
            <w:vAlign w:val="center"/>
          </w:tcPr>
          <w:p w:rsidR="006802DF" w:rsidRPr="00FA4AD5" w:rsidRDefault="006802DF" w:rsidP="006802D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bidi/>
              <w:rPr>
                <w:rtl/>
                <w:lang w:bidi="ar-IQ"/>
              </w:rPr>
            </w:pPr>
          </w:p>
        </w:tc>
      </w:tr>
      <w:tr w:rsidR="006802DF" w:rsidTr="009162D3">
        <w:trPr>
          <w:trHeight w:val="547"/>
        </w:trPr>
        <w:tc>
          <w:tcPr>
            <w:tcW w:w="1542" w:type="dxa"/>
          </w:tcPr>
          <w:p w:rsidR="006802DF" w:rsidRDefault="006802DF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jc w:val="center"/>
            </w:pPr>
            <w:r w:rsidRPr="00F1157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  <w:vAlign w:val="center"/>
          </w:tcPr>
          <w:p w:rsidR="006802DF" w:rsidRPr="00FA4AD5" w:rsidRDefault="006802DF" w:rsidP="006802D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4AD5">
              <w:rPr>
                <w:rFonts w:hint="cs"/>
                <w:b/>
                <w:bCs/>
                <w:sz w:val="20"/>
                <w:szCs w:val="20"/>
                <w:rtl/>
              </w:rPr>
              <w:t>الامتحان الثاني</w:t>
            </w:r>
          </w:p>
        </w:tc>
        <w:tc>
          <w:tcPr>
            <w:tcW w:w="1543" w:type="dxa"/>
            <w:vAlign w:val="center"/>
          </w:tcPr>
          <w:p w:rsidR="006802DF" w:rsidRPr="00F9429B" w:rsidRDefault="006802DF" w:rsidP="006802DF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6802DF" w:rsidRDefault="006802DF" w:rsidP="006802DF">
            <w:pPr>
              <w:bidi/>
              <w:rPr>
                <w:rtl/>
                <w:lang w:bidi="ar-IQ"/>
              </w:rPr>
            </w:pP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4446A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تمهيد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اختبار الفرضيات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510A24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4446A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الفرضية البسيطة </w:t>
            </w:r>
          </w:p>
        </w:tc>
        <w:tc>
          <w:tcPr>
            <w:tcW w:w="1543" w:type="dxa"/>
          </w:tcPr>
          <w:p w:rsidR="00F9429B" w:rsidRDefault="00F9429B" w:rsidP="00F9429B">
            <w:r w:rsidRPr="00D7517B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اختبار الفرضيات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510A24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4446A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الفرضية المركبة </w:t>
            </w:r>
          </w:p>
        </w:tc>
        <w:tc>
          <w:tcPr>
            <w:tcW w:w="1543" w:type="dxa"/>
          </w:tcPr>
          <w:p w:rsidR="00F9429B" w:rsidRDefault="00F9429B" w:rsidP="00F9429B">
            <w:r w:rsidRPr="00D7517B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اختبار الفرضيات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4446A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 تمارين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دالة خسارة تربيعية</w:t>
            </w:r>
          </w:p>
          <w:p w:rsidR="00F9429B" w:rsidRPr="00D4446A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 دالة الخسارة المطلقة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6B48D5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نموذج (بواسون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كاما)</w:t>
            </w:r>
          </w:p>
        </w:tc>
        <w:tc>
          <w:tcPr>
            <w:tcW w:w="1543" w:type="dxa"/>
          </w:tcPr>
          <w:p w:rsidR="00F9429B" w:rsidRDefault="00F9429B" w:rsidP="00F9429B">
            <w:r w:rsidRPr="00E95C91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6B48D5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(ثنائي الحدين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بيتا)</w:t>
            </w:r>
          </w:p>
        </w:tc>
        <w:tc>
          <w:tcPr>
            <w:tcW w:w="1543" w:type="dxa"/>
          </w:tcPr>
          <w:p w:rsidR="00F9429B" w:rsidRDefault="00F9429B" w:rsidP="00F9429B">
            <w:r w:rsidRPr="00E95C91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6B48D5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(طبيعي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طبيعي)</w:t>
            </w:r>
          </w:p>
        </w:tc>
        <w:tc>
          <w:tcPr>
            <w:tcW w:w="1543" w:type="dxa"/>
          </w:tcPr>
          <w:p w:rsidR="00F9429B" w:rsidRDefault="00F9429B" w:rsidP="00F9429B">
            <w:r w:rsidRPr="00E95C91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6B48D5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(أسي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كاما)</w:t>
            </w:r>
          </w:p>
        </w:tc>
        <w:tc>
          <w:tcPr>
            <w:tcW w:w="1543" w:type="dxa"/>
          </w:tcPr>
          <w:p w:rsidR="00F9429B" w:rsidRDefault="00F9429B" w:rsidP="00F9429B">
            <w:r w:rsidRPr="00E95C91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955D98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 تمارين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bidi/>
              <w:rPr>
                <w:rtl/>
                <w:lang w:bidi="ar-IQ"/>
              </w:rPr>
            </w:pP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الأمتحان الثالث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</w:t>
            </w:r>
          </w:p>
        </w:tc>
        <w:tc>
          <w:tcPr>
            <w:tcW w:w="1543" w:type="dxa"/>
          </w:tcPr>
          <w:p w:rsidR="00F9429B" w:rsidRDefault="00F9429B" w:rsidP="00F9429B">
            <w:pPr>
              <w:bidi/>
              <w:rPr>
                <w:rtl/>
                <w:lang w:bidi="ar-IQ"/>
              </w:rPr>
            </w:pPr>
          </w:p>
        </w:tc>
      </w:tr>
      <w:tr w:rsidR="00F9429B" w:rsidTr="00C63CDA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تمهيد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 التجريبي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D813F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387A28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للتوزيعات المتقطعة</w:t>
            </w:r>
          </w:p>
        </w:tc>
        <w:tc>
          <w:tcPr>
            <w:tcW w:w="1543" w:type="dxa"/>
          </w:tcPr>
          <w:p w:rsidR="00F9429B" w:rsidRDefault="00F9429B" w:rsidP="00F9429B">
            <w:r w:rsidRPr="00B05A95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 التجريبي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D813F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387A28">
        <w:trPr>
          <w:trHeight w:val="547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للتوزيعات المستمرة</w:t>
            </w:r>
          </w:p>
        </w:tc>
        <w:tc>
          <w:tcPr>
            <w:tcW w:w="1543" w:type="dxa"/>
          </w:tcPr>
          <w:p w:rsidR="00F9429B" w:rsidRDefault="00F9429B" w:rsidP="00F9429B">
            <w:r w:rsidRPr="00B05A95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تقدير قرار بيز التجريبي</w:t>
            </w:r>
          </w:p>
        </w:tc>
        <w:tc>
          <w:tcPr>
            <w:tcW w:w="1543" w:type="dxa"/>
          </w:tcPr>
          <w:p w:rsidR="00F9429B" w:rsidRPr="00F36863" w:rsidRDefault="00F9429B" w:rsidP="00F9429B">
            <w:pPr>
              <w:jc w:val="center"/>
              <w:rPr>
                <w:b/>
                <w:bCs/>
                <w:sz w:val="20"/>
                <w:szCs w:val="20"/>
                <w:lang w:val="en-US" w:bidi="ar-IQ"/>
              </w:rPr>
            </w:pPr>
            <w:r w:rsidRPr="00F36863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المحاضرة والتطبيق باستخدام الامثلة</w:t>
            </w:r>
          </w:p>
        </w:tc>
        <w:tc>
          <w:tcPr>
            <w:tcW w:w="1543" w:type="dxa"/>
          </w:tcPr>
          <w:p w:rsidR="00F9429B" w:rsidRDefault="00F9429B" w:rsidP="00F9429B">
            <w:r w:rsidRPr="00D813F0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المناقشة والواجب</w:t>
            </w:r>
          </w:p>
        </w:tc>
      </w:tr>
      <w:tr w:rsidR="00F9429B" w:rsidTr="00F9429B">
        <w:trPr>
          <w:trHeight w:val="299"/>
        </w:trPr>
        <w:tc>
          <w:tcPr>
            <w:tcW w:w="1542" w:type="dxa"/>
          </w:tcPr>
          <w:p w:rsidR="00F9429B" w:rsidRDefault="00F9429B" w:rsidP="00F9429B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jc w:val="center"/>
            </w:pPr>
            <w:r w:rsidRPr="00190B0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F9429B" w:rsidRPr="00DF5321" w:rsidRDefault="00F9429B" w:rsidP="00F942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الأمتحان الرابع</w:t>
            </w:r>
          </w:p>
        </w:tc>
        <w:tc>
          <w:tcPr>
            <w:tcW w:w="1543" w:type="dxa"/>
            <w:vAlign w:val="center"/>
          </w:tcPr>
          <w:p w:rsidR="00F9429B" w:rsidRPr="00F9429B" w:rsidRDefault="00F9429B" w:rsidP="00F9429B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F9429B" w:rsidRDefault="00F9429B" w:rsidP="00F9429B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2B7D25" w:rsidTr="00FB1A10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FB1A10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5369" w:type="dxa"/>
          </w:tcPr>
          <w:p w:rsidR="002B7D25" w:rsidRDefault="00FA4AD5" w:rsidP="00FA4AD5">
            <w:pPr>
              <w:bidi/>
              <w:rPr>
                <w:rtl/>
                <w:lang w:bidi="ar-IQ"/>
              </w:rPr>
            </w:pPr>
            <w:r w:rsidRPr="00FA4AD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"نظرية القرارات الأحصائية"  أ.صباح هادي الجاسم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/</w:t>
            </w:r>
            <w:r w:rsidRPr="00FA4AD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د.زكي الصراف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،</w:t>
            </w:r>
            <w:r w:rsidRPr="000C7E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جامعة بغداد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/  (1992</w:t>
            </w:r>
            <w:r w:rsidRPr="00D4446A">
              <w:rPr>
                <w:rFonts w:cs="Simplified Arabic" w:hint="cs"/>
                <w:b/>
                <w:bCs/>
                <w:sz w:val="32"/>
                <w:szCs w:val="32"/>
                <w:rtl/>
              </w:rPr>
              <w:t>).</w:t>
            </w: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FA4AD5" w:rsidRPr="000C0947" w:rsidRDefault="00FA4AD5" w:rsidP="00FA4AD5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0C0947">
              <w:rPr>
                <w:rFonts w:cs="Simplified Arabic"/>
                <w:b/>
                <w:bCs/>
                <w:sz w:val="28"/>
                <w:szCs w:val="28"/>
              </w:rPr>
              <w:t>Statistical Decision Theory";  James  O. Berger; (1980).</w:t>
            </w:r>
          </w:p>
          <w:p w:rsidR="00FA4AD5" w:rsidRPr="000C0947" w:rsidRDefault="00FA4AD5" w:rsidP="00FA4AD5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0C0947">
              <w:rPr>
                <w:rFonts w:cs="Simplified Arabic"/>
                <w:b/>
                <w:bCs/>
                <w:sz w:val="28"/>
                <w:szCs w:val="28"/>
              </w:rPr>
              <w:t xml:space="preserve"> "Statistical Decision Theory and Bayesian Analysis";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         </w:t>
            </w:r>
            <w:r w:rsidRPr="000C0947">
              <w:rPr>
                <w:rFonts w:cs="Simplified Arabic"/>
                <w:b/>
                <w:bCs/>
                <w:sz w:val="28"/>
                <w:szCs w:val="28"/>
              </w:rPr>
              <w:t>James  O. Berger; (1985).</w:t>
            </w:r>
          </w:p>
          <w:p w:rsidR="002B7D25" w:rsidRPr="00FA4AD5" w:rsidRDefault="002B7D25" w:rsidP="00FA4AD5">
            <w:pPr>
              <w:rPr>
                <w:lang w:val="en-US" w:bidi="ar-IQ"/>
              </w:rPr>
            </w:pP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  <w:tr w:rsidR="002B7D25" w:rsidTr="00FB1A10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2B7D25" w:rsidRDefault="00FA4AD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 لان المادة سوف لا يتم تدريسها العام القادم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7D" w:rsidRDefault="00D17E7D" w:rsidP="00CA735C">
      <w:pPr>
        <w:spacing w:after="0" w:line="240" w:lineRule="auto"/>
      </w:pPr>
      <w:r>
        <w:separator/>
      </w:r>
    </w:p>
  </w:endnote>
  <w:endnote w:type="continuationSeparator" w:id="0">
    <w:p w:rsidR="00D17E7D" w:rsidRDefault="00D17E7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028702"/>
      <w:docPartObj>
        <w:docPartGallery w:val="Page Numbers (Bottom of Page)"/>
        <w:docPartUnique/>
      </w:docPartObj>
    </w:sdtPr>
    <w:sdtEndPr/>
    <w:sdtContent>
      <w:p w:rsidR="003A5491" w:rsidRDefault="003A5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71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  <w:lang w:val="en-US" w:bidi="ar-IQ"/>
          </w:rPr>
          <w:t xml:space="preserve"> الصفحة </w:t>
        </w:r>
      </w:p>
    </w:sdtContent>
  </w:sdt>
  <w:p w:rsidR="00CA735C" w:rsidRPr="003A5491" w:rsidRDefault="00CA735C" w:rsidP="003A5491">
    <w:pPr>
      <w:pStyle w:val="Footer"/>
      <w:bidi/>
      <w:jc w:val="center"/>
      <w:rPr>
        <w:rtl/>
        <w:lang w:val="en-US"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7D" w:rsidRDefault="00D17E7D" w:rsidP="00CA735C">
      <w:pPr>
        <w:spacing w:after="0" w:line="240" w:lineRule="auto"/>
      </w:pPr>
      <w:r>
        <w:separator/>
      </w:r>
    </w:p>
  </w:footnote>
  <w:footnote w:type="continuationSeparator" w:id="0">
    <w:p w:rsidR="00D17E7D" w:rsidRDefault="00D17E7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D62"/>
    <w:multiLevelType w:val="hybridMultilevel"/>
    <w:tmpl w:val="5738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015B"/>
    <w:multiLevelType w:val="hybridMultilevel"/>
    <w:tmpl w:val="69322800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22ADE"/>
    <w:multiLevelType w:val="hybridMultilevel"/>
    <w:tmpl w:val="A318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13598D"/>
    <w:rsid w:val="001533FE"/>
    <w:rsid w:val="001A3F63"/>
    <w:rsid w:val="002221A1"/>
    <w:rsid w:val="002B7D25"/>
    <w:rsid w:val="003A5491"/>
    <w:rsid w:val="00446E72"/>
    <w:rsid w:val="004F5E75"/>
    <w:rsid w:val="005A3714"/>
    <w:rsid w:val="006802DF"/>
    <w:rsid w:val="00B17AD2"/>
    <w:rsid w:val="00C41A46"/>
    <w:rsid w:val="00CA2DBC"/>
    <w:rsid w:val="00CA735C"/>
    <w:rsid w:val="00CC14CB"/>
    <w:rsid w:val="00CC2C74"/>
    <w:rsid w:val="00D027B3"/>
    <w:rsid w:val="00D17E7D"/>
    <w:rsid w:val="00E25B08"/>
    <w:rsid w:val="00F04F1C"/>
    <w:rsid w:val="00F36863"/>
    <w:rsid w:val="00F9429B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5A585C-7903-456A-A0BA-3EAA844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2</cp:revision>
  <dcterms:created xsi:type="dcterms:W3CDTF">2018-05-13T10:45:00Z</dcterms:created>
  <dcterms:modified xsi:type="dcterms:W3CDTF">2018-05-13T10:45:00Z</dcterms:modified>
</cp:coreProperties>
</file>