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49464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DB595B" w:rsidRPr="00125874" w:rsidTr="00DD40F4">
        <w:trPr>
          <w:trHeight w:val="455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  <w:vAlign w:val="center"/>
          </w:tcPr>
          <w:p w:rsidR="00DB595B" w:rsidRPr="00B3370B" w:rsidRDefault="00DB595B" w:rsidP="00591F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B3370B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كلية الادارة والاقتصاد</w:t>
            </w:r>
          </w:p>
        </w:tc>
      </w:tr>
      <w:tr w:rsidR="00DB595B" w:rsidRPr="00125874" w:rsidTr="00DD40F4">
        <w:trPr>
          <w:trHeight w:val="465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  <w:vAlign w:val="center"/>
          </w:tcPr>
          <w:p w:rsidR="00DB595B" w:rsidRPr="00661D07" w:rsidRDefault="00DB595B" w:rsidP="00591F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قسم الادارة العامة</w:t>
            </w:r>
          </w:p>
        </w:tc>
      </w:tr>
      <w:tr w:rsidR="00DB595B" w:rsidRPr="00125874" w:rsidTr="00DD40F4">
        <w:trPr>
          <w:trHeight w:val="462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  <w:vAlign w:val="center"/>
          </w:tcPr>
          <w:p w:rsidR="00DB595B" w:rsidRPr="00661D07" w:rsidRDefault="00DB595B" w:rsidP="00591F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/</w:t>
            </w:r>
            <w:r w:rsidRPr="00B0102F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s.m.1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الادارة الستراتيجية</w:t>
            </w:r>
          </w:p>
        </w:tc>
      </w:tr>
      <w:tr w:rsidR="00DB595B" w:rsidRPr="00125874" w:rsidTr="00F36B4E">
        <w:trPr>
          <w:trHeight w:val="462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  <w:vAlign w:val="center"/>
          </w:tcPr>
          <w:p w:rsidR="00DB595B" w:rsidRPr="00661D07" w:rsidRDefault="00DB595B" w:rsidP="00591F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القاعات الدراسية</w:t>
            </w:r>
          </w:p>
        </w:tc>
      </w:tr>
      <w:tr w:rsidR="00DB595B" w:rsidRPr="00125874" w:rsidTr="00F36B4E">
        <w:trPr>
          <w:trHeight w:val="462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  <w:vAlign w:val="center"/>
          </w:tcPr>
          <w:p w:rsidR="00DB595B" w:rsidRPr="00661D07" w:rsidRDefault="00DB595B" w:rsidP="00591F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نظام سنوي</w:t>
            </w:r>
          </w:p>
        </w:tc>
      </w:tr>
      <w:tr w:rsidR="00DB595B" w:rsidRPr="00125874" w:rsidTr="00F36B4E">
        <w:trPr>
          <w:trHeight w:val="462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  <w:vAlign w:val="center"/>
          </w:tcPr>
          <w:p w:rsidR="00DB595B" w:rsidRPr="00661D07" w:rsidRDefault="00DB595B" w:rsidP="00591F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ساعة* 30 اسبوع=90 ساعة سنويا</w:t>
            </w:r>
          </w:p>
        </w:tc>
      </w:tr>
      <w:tr w:rsidR="00DB595B" w:rsidRPr="00125874" w:rsidTr="00B71CFF">
        <w:trPr>
          <w:trHeight w:val="462"/>
        </w:trPr>
        <w:tc>
          <w:tcPr>
            <w:tcW w:w="3503" w:type="dxa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DB595B" w:rsidRPr="00125874" w:rsidRDefault="00DB595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13/5/2018</w:t>
            </w:r>
          </w:p>
        </w:tc>
      </w:tr>
      <w:tr w:rsidR="00DB595B" w:rsidRPr="00125874" w:rsidTr="00B71CFF">
        <w:trPr>
          <w:trHeight w:val="455"/>
        </w:trPr>
        <w:tc>
          <w:tcPr>
            <w:tcW w:w="9016" w:type="dxa"/>
            <w:gridSpan w:val="2"/>
          </w:tcPr>
          <w:p w:rsidR="00DB595B" w:rsidRPr="00125874" w:rsidRDefault="00DB595B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DB595B" w:rsidRPr="00125874" w:rsidTr="00B11773">
        <w:trPr>
          <w:trHeight w:val="4364"/>
        </w:trPr>
        <w:tc>
          <w:tcPr>
            <w:tcW w:w="9016" w:type="dxa"/>
            <w:gridSpan w:val="2"/>
          </w:tcPr>
          <w:p w:rsidR="00DB595B" w:rsidRPr="00125874" w:rsidRDefault="000914CD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914CD">
              <w:rPr>
                <w:rFonts w:ascii="Cambria" w:eastAsia="Times New Roman" w:hAnsi="Cambria" w:cs="Arial" w:hint="cs"/>
                <w:color w:val="000000"/>
                <w:sz w:val="24"/>
                <w:szCs w:val="24"/>
                <w:rtl/>
                <w:lang w:val="en-US" w:bidi="ar-IQ"/>
              </w:rPr>
              <w:t>زيادة معرفة الطلبة في مجال الادارة الستراتيجية واطلاعهم على اهمية المدخل الستراتيجي في الادارة العامة والمنظمات الحكوميةودراسة حالات تطبيقيه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0914CD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مفردات المادة الدراسية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914CD" w:rsidRPr="000914CD" w:rsidRDefault="000914CD" w:rsidP="000914CD">
            <w:pPr>
              <w:autoSpaceDE w:val="0"/>
              <w:autoSpaceDN w:val="0"/>
              <w:bidi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914CD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ب1 –</w:t>
            </w: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التفكير والاستنتاج</w:t>
            </w:r>
          </w:p>
          <w:p w:rsidR="00125874" w:rsidRPr="00125874" w:rsidRDefault="000914CD" w:rsidP="000914CD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914CD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 xml:space="preserve">ب2 - </w:t>
            </w: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اعداد البرامج التدريسية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914CD" w:rsidRPr="000914CD" w:rsidRDefault="000914CD" w:rsidP="000914CD">
            <w:pPr>
              <w:autoSpaceDE w:val="0"/>
              <w:autoSpaceDN w:val="0"/>
              <w:bidi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914CD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ج1-</w:t>
            </w: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ابداعية</w:t>
            </w:r>
          </w:p>
          <w:p w:rsidR="000914CD" w:rsidRPr="000914CD" w:rsidRDefault="000914CD" w:rsidP="000914CD">
            <w:pPr>
              <w:autoSpaceDE w:val="0"/>
              <w:autoSpaceDN w:val="0"/>
              <w:bidi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914CD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ج2-</w:t>
            </w: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تطويرية</w:t>
            </w:r>
          </w:p>
          <w:p w:rsidR="000914CD" w:rsidRPr="000914CD" w:rsidRDefault="000914CD" w:rsidP="000914CD">
            <w:pPr>
              <w:autoSpaceDE w:val="0"/>
              <w:autoSpaceDN w:val="0"/>
              <w:bidi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914CD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ج3-</w:t>
            </w: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تحليلية</w:t>
            </w:r>
          </w:p>
          <w:p w:rsidR="00125874" w:rsidRPr="00125874" w:rsidRDefault="000914CD" w:rsidP="000914CD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914CD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 xml:space="preserve">ج4-  </w:t>
            </w: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مهارات شخصية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914CD" w:rsidRPr="000914CD" w:rsidRDefault="000914CD" w:rsidP="000914CD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bidi="ar-IQ"/>
              </w:rPr>
            </w:pP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المحاضرات النظرية والصفية</w:t>
            </w:r>
          </w:p>
          <w:p w:rsidR="000914CD" w:rsidRPr="000914CD" w:rsidRDefault="000914CD" w:rsidP="000914CD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bidi="ar-IQ"/>
              </w:rPr>
            </w:pP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واجبات ومشاركة الطلبة الفاعلة في هذه المحاضرات</w:t>
            </w:r>
          </w:p>
          <w:p w:rsidR="00B71CFF" w:rsidRPr="00125874" w:rsidRDefault="000914CD" w:rsidP="000914CD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914CD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الامتحانات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914CD" w:rsidRPr="00661D07" w:rsidRDefault="000914CD" w:rsidP="000914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914CD" w:rsidRDefault="000914CD" w:rsidP="000914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يقيم الطالب من خلال الامتحان مشاركته اليومية والامتحانات الشهرية والفصلية والامتحانات المفاجئة</w:t>
            </w:r>
          </w:p>
          <w:p w:rsidR="000914CD" w:rsidRDefault="000914CD" w:rsidP="000914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مشاركة</w:t>
            </w:r>
          </w:p>
          <w:p w:rsidR="000914CD" w:rsidRDefault="000914CD" w:rsidP="000914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واجبات</w:t>
            </w:r>
          </w:p>
          <w:p w:rsidR="000914CD" w:rsidRPr="00B3370B" w:rsidRDefault="000914CD" w:rsidP="000914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نظرية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49464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914CD" w:rsidRPr="000914CD" w:rsidRDefault="000914CD" w:rsidP="000914CD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rtl/>
                      <w:lang w:val="en-US" w:bidi="ar-IQ"/>
                    </w:rPr>
                  </w:pPr>
                  <w:r w:rsidRPr="000914CD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>د1-</w:t>
                  </w:r>
                  <w:r w:rsidRPr="000914CD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معرفية</w:t>
                  </w:r>
                </w:p>
                <w:p w:rsidR="000914CD" w:rsidRPr="000914CD" w:rsidRDefault="000914CD" w:rsidP="000914CD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rtl/>
                      <w:lang w:val="en-US" w:bidi="ar-IQ"/>
                    </w:rPr>
                  </w:pPr>
                  <w:r w:rsidRPr="000914CD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>د2-</w:t>
                  </w:r>
                  <w:r w:rsidRPr="000914CD">
                    <w:rPr>
                      <w:rFonts w:ascii="Cambria" w:eastAsia="Times New Roman" w:hAnsi="Cambria" w:cs="Times New Roman" w:hint="cs"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سلوكية</w:t>
                  </w: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914CD" w:rsidRPr="00125874" w:rsidTr="00125874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مقدمه في الإدارة الاستراتيجي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0914CD" w:rsidRPr="00125874" w:rsidTr="00125874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التوجه الاستراتيجي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0914CD" w:rsidRPr="00125874" w:rsidTr="00125874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الاستراتيجيا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على مستوى المنظمة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0914CD" w:rsidRPr="00125874" w:rsidTr="00125874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الاستراتيجيا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على مستوى وحدات الاعمال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حالات التفكير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شفهية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وتحريرية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والمناقشات</w:t>
            </w: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التنفيذ الذات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حالات دراسية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شفهية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وتحريرية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والمناقشات</w:t>
            </w: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المراجعة العملية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معالجة حالات واقعيه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شفهية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وتحريرية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والمناقشات</w:t>
            </w: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القرار الاستراتيج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معالجه نظريه وتطبيقيه</w:t>
            </w: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امتحانات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شفهية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وتحريرية</w:t>
            </w:r>
            <w:r w:rsidRPr="00D1352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13524"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والمناقشات</w:t>
            </w: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الستراتيجية في المنظمات العامة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الرقابة الستراتيجية والتقويم الستراتيجي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تطبيق الستراتيجية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صياغة الستراتيجية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التخطيط الستراتيجي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ادوات التحليل الستراتيجي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الفجوة الستراتيجية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التفكير الستراتيجي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الخيار الستراتيجي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القيادة الاستراتيج</w:t>
            </w:r>
            <w:r>
              <w:rPr>
                <w:rFonts w:ascii="Cambria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ية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3D3BDC">
        <w:trPr>
          <w:trHeight w:val="547"/>
        </w:trPr>
        <w:tc>
          <w:tcPr>
            <w:tcW w:w="938" w:type="dxa"/>
            <w:vAlign w:val="center"/>
          </w:tcPr>
          <w:p w:rsidR="000914CD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97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الستراتيجية</w:t>
            </w:r>
          </w:p>
        </w:tc>
        <w:tc>
          <w:tcPr>
            <w:tcW w:w="1360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0914CD" w:rsidRPr="00661D07" w:rsidRDefault="000914CD" w:rsidP="000914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0914CD" w:rsidRPr="00125874" w:rsidTr="00125874">
        <w:trPr>
          <w:trHeight w:val="547"/>
        </w:trPr>
        <w:tc>
          <w:tcPr>
            <w:tcW w:w="938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14CD" w:rsidRPr="00125874" w:rsidTr="00125874">
        <w:trPr>
          <w:trHeight w:val="547"/>
        </w:trPr>
        <w:tc>
          <w:tcPr>
            <w:tcW w:w="938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0914CD" w:rsidRPr="00125874" w:rsidRDefault="000914CD" w:rsidP="000914C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0914CD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14CD">
              <w:rPr>
                <w:rFonts w:ascii="Cambria" w:eastAsia="Times New Roman" w:hAnsi="Cambria" w:cs="Arial" w:hint="cs"/>
                <w:color w:val="000000"/>
                <w:sz w:val="24"/>
                <w:szCs w:val="24"/>
                <w:rtl/>
                <w:lang w:val="en-US" w:bidi="ar-IQ"/>
              </w:rPr>
              <w:t>يوجد كتاب مقرر+ مصادر ثانوية اخرى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7C1C2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الاستعانة بالمواقع الالكترونية ومعالجة حالات دراسية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44" w:rsidRDefault="00494644" w:rsidP="00CA735C">
      <w:pPr>
        <w:spacing w:after="0" w:line="240" w:lineRule="auto"/>
      </w:pPr>
      <w:r>
        <w:separator/>
      </w:r>
    </w:p>
  </w:endnote>
  <w:endnote w:type="continuationSeparator" w:id="0">
    <w:p w:rsidR="00494644" w:rsidRDefault="0049464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494644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44" w:rsidRDefault="00494644" w:rsidP="00CA735C">
      <w:pPr>
        <w:spacing w:after="0" w:line="240" w:lineRule="auto"/>
      </w:pPr>
      <w:r>
        <w:separator/>
      </w:r>
    </w:p>
  </w:footnote>
  <w:footnote w:type="continuationSeparator" w:id="0">
    <w:p w:rsidR="00494644" w:rsidRDefault="0049464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39"/>
    <w:multiLevelType w:val="hybridMultilevel"/>
    <w:tmpl w:val="2C202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4F1"/>
    <w:multiLevelType w:val="hybridMultilevel"/>
    <w:tmpl w:val="B9BCCF48"/>
    <w:lvl w:ilvl="0" w:tplc="3A22A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914CD"/>
    <w:rsid w:val="00125874"/>
    <w:rsid w:val="0013598D"/>
    <w:rsid w:val="002E5343"/>
    <w:rsid w:val="0030691E"/>
    <w:rsid w:val="00451536"/>
    <w:rsid w:val="00494644"/>
    <w:rsid w:val="004F5E75"/>
    <w:rsid w:val="00542B55"/>
    <w:rsid w:val="005D6AED"/>
    <w:rsid w:val="00671845"/>
    <w:rsid w:val="0072096C"/>
    <w:rsid w:val="007C0C0D"/>
    <w:rsid w:val="007C1C24"/>
    <w:rsid w:val="008273E0"/>
    <w:rsid w:val="00847C41"/>
    <w:rsid w:val="00874013"/>
    <w:rsid w:val="008B21DB"/>
    <w:rsid w:val="00B03952"/>
    <w:rsid w:val="00B17AD2"/>
    <w:rsid w:val="00B71CFF"/>
    <w:rsid w:val="00CA735C"/>
    <w:rsid w:val="00D027B3"/>
    <w:rsid w:val="00DB595B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10</cp:revision>
  <dcterms:created xsi:type="dcterms:W3CDTF">2016-04-26T16:48:00Z</dcterms:created>
  <dcterms:modified xsi:type="dcterms:W3CDTF">2018-05-27T19:33:00Z</dcterms:modified>
</cp:coreProperties>
</file>