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3525F0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BE6F4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 /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BE6F4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المحاسبة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4172D0" w:rsidRDefault="004172D0" w:rsidP="00B71CF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Accounting in English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E66380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شعب دراسية</w:t>
            </w:r>
            <w:r w:rsidR="0014681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الكترونية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4172D0" w:rsidRDefault="004172D0" w:rsidP="0014681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الثاني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201</w:t>
            </w:r>
            <w:r w:rsidR="0014681F">
              <w:rPr>
                <w:b/>
                <w:bCs/>
                <w:sz w:val="32"/>
                <w:szCs w:val="32"/>
                <w:lang w:val="en-US" w:bidi="ar-IQ"/>
              </w:rPr>
              <w:t>9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/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20</w:t>
            </w:r>
            <w:r w:rsidR="0014681F">
              <w:rPr>
                <w:b/>
                <w:bCs/>
                <w:sz w:val="32"/>
                <w:szCs w:val="32"/>
                <w:lang w:val="en-US" w:bidi="ar-IQ"/>
              </w:rPr>
              <w:t>20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4172D0" w:rsidRDefault="004172D0" w:rsidP="00B71CFF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  </w:t>
            </w:r>
            <w:r>
              <w:rPr>
                <w:b/>
                <w:bCs/>
                <w:sz w:val="32"/>
                <w:szCs w:val="32"/>
                <w:lang w:val="en-US" w:bidi="ar-IQ"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ساعات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E66380" w:rsidRDefault="00E66380" w:rsidP="0014681F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2/5/201</w:t>
            </w:r>
            <w:r w:rsidR="0014681F">
              <w:rPr>
                <w:b/>
                <w:bCs/>
                <w:sz w:val="32"/>
                <w:szCs w:val="32"/>
                <w:lang w:val="en-US" w:bidi="ar-IQ"/>
              </w:rPr>
              <w:t>9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7A343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: اكساب الطلاب مهارات تسجيل القيود المحاسبية وترحيلها الى سجل الاستاذ واعداد ميزان المراجعة قبل تسجيل قيود التسوية وتسجيل قيود التسوية واعداد ميزان المراجعة المعدل وتحضير الحسابات الختامية والكشوفات </w:t>
            </w:r>
            <w:proofErr w:type="spellStart"/>
            <w:r w:rsidR="007A343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الماليةو</w:t>
            </w:r>
            <w:proofErr w:type="spellEnd"/>
            <w:r w:rsidR="007A343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وامكانية تفسيرها .معرفة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7A343A" w:rsidRDefault="00B71CFF" w:rsidP="007A343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A343A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والفهم </w:t>
            </w:r>
          </w:p>
          <w:p w:rsidR="007A343A" w:rsidRPr="007A343A" w:rsidRDefault="007A343A" w:rsidP="007A343A">
            <w:pPr>
              <w:pStyle w:val="a6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الاطار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المفاهيمي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للمحاسبة وفهم اهدافها وفروضها ومفاهيمها ومبادئها والقيود والمحددات التي تعمل في ظلها 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A343A" w:rsidRDefault="007A343A" w:rsidP="007A343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تحديد المعاملات المالية</w:t>
            </w:r>
          </w:p>
          <w:p w:rsidR="007A343A" w:rsidRDefault="00C1142A" w:rsidP="007A343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تسجيل المعاملات المالية</w:t>
            </w:r>
          </w:p>
          <w:p w:rsidR="00C1142A" w:rsidRDefault="00C1142A" w:rsidP="00C114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ترحيلها الى سجل الاستاذ</w:t>
            </w:r>
          </w:p>
          <w:p w:rsidR="00C1142A" w:rsidRDefault="00C1142A" w:rsidP="00C114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تحضير الحسابات الختامية واعداد\ الكشوفات المالية</w:t>
            </w:r>
          </w:p>
          <w:p w:rsidR="00C1142A" w:rsidRPr="007A343A" w:rsidRDefault="00C1142A" w:rsidP="00C114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تفسير النتائج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  <w:r w:rsidR="00C114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1142A" w:rsidRDefault="00C1142A" w:rsidP="00C114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اثارة الاسئلة</w:t>
            </w:r>
          </w:p>
          <w:p w:rsidR="00C1142A" w:rsidRDefault="00C1142A" w:rsidP="00C114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عصف الافكار</w:t>
            </w:r>
          </w:p>
          <w:p w:rsidR="00C1142A" w:rsidRDefault="00C1142A" w:rsidP="00C114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طرح الحالات الدراسية</w:t>
            </w:r>
          </w:p>
          <w:p w:rsidR="00C1142A" w:rsidRPr="00C1142A" w:rsidRDefault="00C1142A" w:rsidP="00C1142A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ابداء الراي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  <w:r w:rsidR="000230C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: تتم من خلال طرق القاء المحاضرات وعصف الافكار من خلال طرح </w:t>
            </w:r>
            <w:r w:rsidR="000230C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الاسئلة واعطاء الحالات الدراسية وتقسيم الطلبة الى مجاميع لحل التمارين</w:t>
            </w:r>
          </w:p>
          <w:p w:rsidR="000230C4" w:rsidRPr="00125874" w:rsidRDefault="000230C4" w:rsidP="000230C4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  <w:r w:rsidR="000230C4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: الامتحانات التحريرية والشفوية والوجبات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7F087B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يتم اجراء امتحانين تحريرية خلال الفصل الدراسي فضلا عن الامتحانات الشفوية والواجبات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3525F0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proofErr w:type="spellStart"/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والتاهيلية</w:t>
                            </w:r>
                            <w:proofErr w:type="spellEnd"/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  <w:r w:rsidR="000230C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0230C4" w:rsidRDefault="000230C4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مهارات الاستماع</w:t>
                            </w:r>
                          </w:p>
                          <w:p w:rsidR="000230C4" w:rsidRDefault="000230C4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مهارات التفكير</w:t>
                            </w:r>
                          </w:p>
                          <w:p w:rsidR="000230C4" w:rsidRDefault="000230C4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مهارات ايصال الافكار والتحاور</w:t>
                            </w:r>
                          </w:p>
                          <w:p w:rsidR="000230C4" w:rsidRPr="000230C4" w:rsidRDefault="000230C4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  <w:r w:rsidR="000230C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:rsidR="000230C4" w:rsidRDefault="000230C4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مهارات الاستماع</w:t>
                      </w:r>
                    </w:p>
                    <w:p w:rsidR="000230C4" w:rsidRDefault="000230C4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مهارات التفكير</w:t>
                      </w:r>
                    </w:p>
                    <w:p w:rsidR="000230C4" w:rsidRDefault="000230C4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مهارات ايصال الافكار والتحاور</w:t>
                      </w:r>
                    </w:p>
                    <w:p w:rsidR="000230C4" w:rsidRPr="000230C4" w:rsidRDefault="000230C4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</w:pP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  <w:proofErr w:type="spellEnd"/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 w:firstRow="1" w:lastRow="0" w:firstColumn="1" w:lastColumn="0" w:noHBand="0" w:noVBand="1"/>
      </w:tblPr>
      <w:tblGrid>
        <w:gridCol w:w="1028"/>
        <w:gridCol w:w="978"/>
        <w:gridCol w:w="2404"/>
        <w:gridCol w:w="2337"/>
        <w:gridCol w:w="1536"/>
        <w:gridCol w:w="1418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1C0CEF" w:rsidRPr="00125874" w:rsidTr="00B2558E">
        <w:trPr>
          <w:trHeight w:val="551"/>
        </w:trPr>
        <w:tc>
          <w:tcPr>
            <w:tcW w:w="102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404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337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536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  <w:vAlign w:val="center"/>
          </w:tcPr>
          <w:p w:rsidR="00B71CFF" w:rsidRPr="00125874" w:rsidRDefault="000230C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الاول</w:t>
            </w:r>
          </w:p>
        </w:tc>
        <w:tc>
          <w:tcPr>
            <w:tcW w:w="978" w:type="dxa"/>
            <w:vAlign w:val="center"/>
          </w:tcPr>
          <w:p w:rsidR="00B71CFF" w:rsidRPr="000230C4" w:rsidRDefault="000230C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  <w:vAlign w:val="center"/>
          </w:tcPr>
          <w:p w:rsidR="00B71CFF" w:rsidRPr="00125874" w:rsidRDefault="000230C4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فهم المفاهيم الاساسية في المحاسبة المالية</w:t>
            </w:r>
          </w:p>
        </w:tc>
        <w:tc>
          <w:tcPr>
            <w:tcW w:w="2337" w:type="dxa"/>
            <w:vAlign w:val="center"/>
          </w:tcPr>
          <w:p w:rsidR="00B71CFF" w:rsidRPr="000230C4" w:rsidRDefault="000230C4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Basic concepts in financial accounting</w:t>
            </w:r>
          </w:p>
        </w:tc>
        <w:tc>
          <w:tcPr>
            <w:tcW w:w="1536" w:type="dxa"/>
            <w:vAlign w:val="center"/>
          </w:tcPr>
          <w:p w:rsidR="00B71CFF" w:rsidRPr="00125874" w:rsidRDefault="000230C4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القاء المحاضرات طرح الاسئلة والمناقشة</w:t>
            </w:r>
          </w:p>
        </w:tc>
        <w:tc>
          <w:tcPr>
            <w:tcW w:w="1418" w:type="dxa"/>
            <w:vAlign w:val="center"/>
          </w:tcPr>
          <w:p w:rsidR="00B71CFF" w:rsidRPr="00145B97" w:rsidRDefault="00145B9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اسئلة شفوية وتحريرية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  <w:vAlign w:val="center"/>
          </w:tcPr>
          <w:p w:rsidR="00B71CFF" w:rsidRPr="00125874" w:rsidRDefault="00145B97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978" w:type="dxa"/>
            <w:vAlign w:val="center"/>
          </w:tcPr>
          <w:p w:rsidR="00B71CFF" w:rsidRPr="00125874" w:rsidRDefault="00050D72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3</w:t>
            </w:r>
          </w:p>
        </w:tc>
        <w:tc>
          <w:tcPr>
            <w:tcW w:w="2404" w:type="dxa"/>
            <w:vAlign w:val="center"/>
          </w:tcPr>
          <w:p w:rsidR="00B71CFF" w:rsidRPr="00125874" w:rsidRDefault="00145B97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فهم الاطار النظري للمحاسبة المالية</w:t>
            </w:r>
          </w:p>
        </w:tc>
        <w:tc>
          <w:tcPr>
            <w:tcW w:w="2337" w:type="dxa"/>
            <w:vAlign w:val="center"/>
          </w:tcPr>
          <w:p w:rsidR="00B71CFF" w:rsidRPr="00145B97" w:rsidRDefault="00145B97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The theoretical framework of financial accounting</w:t>
            </w:r>
          </w:p>
        </w:tc>
        <w:tc>
          <w:tcPr>
            <w:tcW w:w="1536" w:type="dxa"/>
            <w:vAlign w:val="center"/>
          </w:tcPr>
          <w:p w:rsidR="00B71CFF" w:rsidRPr="00125874" w:rsidRDefault="00145B9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145B9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القاء</w:t>
            </w:r>
            <w:r w:rsidRPr="00145B9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 w:rsidRPr="00145B9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المحاضرات</w:t>
            </w:r>
            <w:r w:rsidRPr="00145B9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 w:rsidRPr="00145B9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طرح</w:t>
            </w:r>
            <w:r w:rsidRPr="00145B9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 w:rsidRPr="00145B9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الاسئلة</w:t>
            </w:r>
            <w:r w:rsidRPr="00145B9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 w:rsidRPr="00145B9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والمناقشة</w:t>
            </w:r>
          </w:p>
        </w:tc>
        <w:tc>
          <w:tcPr>
            <w:tcW w:w="1418" w:type="dxa"/>
            <w:vAlign w:val="center"/>
          </w:tcPr>
          <w:p w:rsidR="00B71CFF" w:rsidRPr="00145B97" w:rsidRDefault="00145B9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اسئلة شفوية</w:t>
            </w:r>
            <w:r w:rsidR="00050D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وتحريرية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  <w:vAlign w:val="center"/>
          </w:tcPr>
          <w:p w:rsidR="00B71CFF" w:rsidRPr="00050D72" w:rsidRDefault="00050D7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lastRenderedPageBreak/>
              <w:t>الثالث</w:t>
            </w:r>
          </w:p>
        </w:tc>
        <w:tc>
          <w:tcPr>
            <w:tcW w:w="978" w:type="dxa"/>
            <w:vAlign w:val="center"/>
          </w:tcPr>
          <w:p w:rsidR="00B71CFF" w:rsidRPr="00050D72" w:rsidRDefault="00050D72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  <w:vAlign w:val="center"/>
          </w:tcPr>
          <w:p w:rsidR="00B71CFF" w:rsidRPr="00125874" w:rsidRDefault="00050D72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فهم العناصر الاساسية في الاطار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المفاهيمي</w:t>
            </w:r>
            <w:proofErr w:type="spellEnd"/>
          </w:p>
        </w:tc>
        <w:tc>
          <w:tcPr>
            <w:tcW w:w="2337" w:type="dxa"/>
            <w:vAlign w:val="center"/>
          </w:tcPr>
          <w:p w:rsidR="00B71CFF" w:rsidRPr="00050D72" w:rsidRDefault="00050D72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Basic elements in theoretical framework( principles , assumptions and constraints )</w:t>
            </w:r>
          </w:p>
        </w:tc>
        <w:tc>
          <w:tcPr>
            <w:tcW w:w="1536" w:type="dxa"/>
            <w:vAlign w:val="center"/>
          </w:tcPr>
          <w:p w:rsidR="00B71CFF" w:rsidRPr="00125874" w:rsidRDefault="00050D7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القاء المحاضرات وطرح الاسئلة والمناقشة</w:t>
            </w:r>
          </w:p>
        </w:tc>
        <w:tc>
          <w:tcPr>
            <w:tcW w:w="1418" w:type="dxa"/>
            <w:vAlign w:val="center"/>
          </w:tcPr>
          <w:p w:rsidR="00B71CFF" w:rsidRPr="00050D72" w:rsidRDefault="00050D72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اسئلة شفوية وتحريرية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  <w:vAlign w:val="center"/>
          </w:tcPr>
          <w:p w:rsidR="00B71CFF" w:rsidRPr="00050D72" w:rsidRDefault="00050D72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الرابع</w:t>
            </w:r>
          </w:p>
        </w:tc>
        <w:tc>
          <w:tcPr>
            <w:tcW w:w="978" w:type="dxa"/>
            <w:vAlign w:val="center"/>
          </w:tcPr>
          <w:p w:rsidR="00B71CFF" w:rsidRPr="00050D72" w:rsidRDefault="001C0CE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  <w:vAlign w:val="center"/>
          </w:tcPr>
          <w:p w:rsidR="00B71CFF" w:rsidRPr="00125874" w:rsidRDefault="001C0CE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التعرف على مستخدمي المعلومات المحاسبية, ولأي الاغراض ؟</w:t>
            </w:r>
          </w:p>
        </w:tc>
        <w:tc>
          <w:tcPr>
            <w:tcW w:w="2337" w:type="dxa"/>
            <w:vAlign w:val="center"/>
          </w:tcPr>
          <w:p w:rsidR="00B71CFF" w:rsidRPr="001C0CEF" w:rsidRDefault="001C0CE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Who uses the accounting information , for what reasons?</w:t>
            </w:r>
          </w:p>
        </w:tc>
        <w:tc>
          <w:tcPr>
            <w:tcW w:w="1536" w:type="dxa"/>
            <w:vAlign w:val="center"/>
          </w:tcPr>
          <w:p w:rsidR="00B71CFF" w:rsidRPr="00125874" w:rsidRDefault="001C0C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 w:rsidRPr="001C0C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القاء</w:t>
            </w:r>
            <w:r w:rsidRPr="001C0C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 w:rsidRPr="001C0C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المحاضرات</w:t>
            </w:r>
            <w:r w:rsidRPr="001C0C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 w:rsidRPr="001C0C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وطرح</w:t>
            </w:r>
            <w:r w:rsidRPr="001C0C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 w:rsidRPr="001C0C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الاسئلة</w:t>
            </w:r>
            <w:r w:rsidRPr="001C0CE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 </w:t>
            </w:r>
            <w:r w:rsidRPr="001C0CE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والمناقشة</w:t>
            </w:r>
          </w:p>
        </w:tc>
        <w:tc>
          <w:tcPr>
            <w:tcW w:w="1418" w:type="dxa"/>
            <w:vAlign w:val="center"/>
          </w:tcPr>
          <w:p w:rsidR="00B71CFF" w:rsidRPr="00125874" w:rsidRDefault="001C0C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اسئلة شفوية وتحريرية</w:t>
            </w:r>
          </w:p>
        </w:tc>
      </w:tr>
      <w:tr w:rsidR="001C0CEF" w:rsidRPr="003B4248" w:rsidTr="00B2558E">
        <w:trPr>
          <w:trHeight w:val="547"/>
        </w:trPr>
        <w:tc>
          <w:tcPr>
            <w:tcW w:w="1028" w:type="dxa"/>
            <w:vAlign w:val="center"/>
          </w:tcPr>
          <w:p w:rsidR="00B71CFF" w:rsidRPr="001C0CEF" w:rsidRDefault="001C0CEF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الخامس</w:t>
            </w:r>
          </w:p>
        </w:tc>
        <w:tc>
          <w:tcPr>
            <w:tcW w:w="978" w:type="dxa"/>
            <w:vAlign w:val="center"/>
          </w:tcPr>
          <w:p w:rsidR="00B71CFF" w:rsidRPr="001C0CEF" w:rsidRDefault="001C0CE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  <w:vAlign w:val="center"/>
          </w:tcPr>
          <w:p w:rsidR="00B71CFF" w:rsidRPr="00125874" w:rsidRDefault="001C0CE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فهم مطابقة كشف البنك</w:t>
            </w:r>
          </w:p>
        </w:tc>
        <w:tc>
          <w:tcPr>
            <w:tcW w:w="2337" w:type="dxa"/>
            <w:vAlign w:val="center"/>
          </w:tcPr>
          <w:p w:rsidR="00B71CFF" w:rsidRPr="001C0CEF" w:rsidRDefault="001C0CE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Bank Reconciliation Statement</w:t>
            </w:r>
          </w:p>
        </w:tc>
        <w:tc>
          <w:tcPr>
            <w:tcW w:w="1536" w:type="dxa"/>
            <w:vAlign w:val="center"/>
          </w:tcPr>
          <w:p w:rsidR="00B71CFF" w:rsidRPr="00B2558E" w:rsidRDefault="001C0CE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rtl/>
                <w:lang w:val="en-US" w:bidi="ar-IQ"/>
              </w:rPr>
            </w:pPr>
            <w:r w:rsidRPr="00B2558E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val="en-US" w:bidi="ar-IQ"/>
              </w:rPr>
              <w:t>القاء المحاضرات وطرح الاسئلة والواجبات</w:t>
            </w:r>
          </w:p>
        </w:tc>
        <w:tc>
          <w:tcPr>
            <w:tcW w:w="1418" w:type="dxa"/>
            <w:vAlign w:val="center"/>
          </w:tcPr>
          <w:p w:rsidR="00B71CFF" w:rsidRPr="001C0CEF" w:rsidRDefault="008177E3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اسئلة شفوية وتحريرية واداء الواجبات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B71CFF" w:rsidRPr="008177E3" w:rsidRDefault="008177E3" w:rsidP="00971954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8177E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السادس</w:t>
            </w:r>
          </w:p>
        </w:tc>
        <w:tc>
          <w:tcPr>
            <w:tcW w:w="978" w:type="dxa"/>
          </w:tcPr>
          <w:p w:rsidR="00B71CFF" w:rsidRPr="008177E3" w:rsidRDefault="008177E3" w:rsidP="00971954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3        </w:t>
            </w:r>
          </w:p>
        </w:tc>
        <w:tc>
          <w:tcPr>
            <w:tcW w:w="2404" w:type="dxa"/>
          </w:tcPr>
          <w:p w:rsidR="00B71CFF" w:rsidRPr="008177E3" w:rsidRDefault="008177E3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قيام الطلبة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باجراء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التطبيقات</w:t>
            </w:r>
          </w:p>
        </w:tc>
        <w:tc>
          <w:tcPr>
            <w:tcW w:w="2337" w:type="dxa"/>
          </w:tcPr>
          <w:p w:rsidR="00B71CFF" w:rsidRPr="008177E3" w:rsidRDefault="008177E3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Practices</w:t>
            </w:r>
          </w:p>
        </w:tc>
        <w:tc>
          <w:tcPr>
            <w:tcW w:w="1536" w:type="dxa"/>
          </w:tcPr>
          <w:p w:rsidR="00B71CFF" w:rsidRPr="008177E3" w:rsidRDefault="008177E3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حلول التمارين</w:t>
            </w:r>
          </w:p>
        </w:tc>
        <w:tc>
          <w:tcPr>
            <w:tcW w:w="1418" w:type="dxa"/>
          </w:tcPr>
          <w:p w:rsidR="00B71CFF" w:rsidRPr="008177E3" w:rsidRDefault="008177E3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77E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واجبات الطلبة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8177E3" w:rsidRDefault="008177E3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978" w:type="dxa"/>
          </w:tcPr>
          <w:p w:rsidR="00125874" w:rsidRPr="008177E3" w:rsidRDefault="008177E3" w:rsidP="00971954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3        </w:t>
            </w:r>
          </w:p>
        </w:tc>
        <w:tc>
          <w:tcPr>
            <w:tcW w:w="2404" w:type="dxa"/>
          </w:tcPr>
          <w:p w:rsidR="00125874" w:rsidRPr="008177E3" w:rsidRDefault="008177E3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فهم عمليات الشراء والبيع</w:t>
            </w:r>
          </w:p>
        </w:tc>
        <w:tc>
          <w:tcPr>
            <w:tcW w:w="2337" w:type="dxa"/>
          </w:tcPr>
          <w:p w:rsidR="00125874" w:rsidRPr="008177E3" w:rsidRDefault="008177E3" w:rsidP="008177E3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 xml:space="preserve">Accounting for </w:t>
            </w:r>
            <w:proofErr w:type="spellStart"/>
            <w:r>
              <w:rPr>
                <w:b/>
                <w:bCs/>
                <w:sz w:val="32"/>
                <w:szCs w:val="32"/>
                <w:lang w:val="en-US" w:bidi="ar-IQ"/>
              </w:rPr>
              <w:t>purcases</w:t>
            </w:r>
            <w:proofErr w:type="spellEnd"/>
            <w:r w:rsidR="00B2558E">
              <w:rPr>
                <w:b/>
                <w:bCs/>
                <w:sz w:val="32"/>
                <w:szCs w:val="32"/>
                <w:lang w:val="en-US" w:bidi="ar-IQ"/>
              </w:rPr>
              <w:t>, sales of goods</w:t>
            </w:r>
          </w:p>
        </w:tc>
        <w:tc>
          <w:tcPr>
            <w:tcW w:w="1536" w:type="dxa"/>
          </w:tcPr>
          <w:p w:rsidR="00125874" w:rsidRPr="00B2558E" w:rsidRDefault="00B2558E" w:rsidP="00B2558E">
            <w:pPr>
              <w:bidi/>
              <w:jc w:val="right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val="en-US" w:bidi="ar-IQ"/>
              </w:rPr>
              <w:t>القاء</w:t>
            </w:r>
            <w:r w:rsidRPr="00B2558E">
              <w:rPr>
                <w:rFonts w:cs="Arial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val="en-US" w:bidi="ar-IQ"/>
              </w:rPr>
              <w:t>المحاضرات</w:t>
            </w:r>
            <w:r w:rsidRPr="00B2558E">
              <w:rPr>
                <w:rFonts w:cs="Arial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val="en-US" w:bidi="ar-IQ"/>
              </w:rPr>
              <w:t>وطرح</w:t>
            </w:r>
            <w:r w:rsidRPr="00B2558E">
              <w:rPr>
                <w:rFonts w:cs="Arial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val="en-US" w:bidi="ar-IQ"/>
              </w:rPr>
              <w:t>الاسئلة</w:t>
            </w:r>
            <w:r w:rsidRPr="00B2558E">
              <w:rPr>
                <w:rFonts w:cs="Arial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val="en-US" w:bidi="ar-IQ"/>
              </w:rPr>
              <w:t>والواجبات</w:t>
            </w:r>
          </w:p>
        </w:tc>
        <w:tc>
          <w:tcPr>
            <w:tcW w:w="1418" w:type="dxa"/>
          </w:tcPr>
          <w:p w:rsidR="00125874" w:rsidRPr="00B2558E" w:rsidRDefault="00B2558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اسئلة</w:t>
            </w:r>
            <w:r w:rsidRPr="00B2558E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شفوية</w:t>
            </w:r>
            <w:r w:rsidRPr="00B2558E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وتحريرية</w:t>
            </w:r>
            <w:r w:rsidRPr="00B2558E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واداء</w:t>
            </w:r>
            <w:r w:rsidRPr="00B2558E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2558E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الواجبات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B2558E" w:rsidRDefault="00B2558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978" w:type="dxa"/>
          </w:tcPr>
          <w:p w:rsidR="00125874" w:rsidRPr="00B2558E" w:rsidRDefault="00B2558E" w:rsidP="00B2558E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</w:tcPr>
          <w:p w:rsidR="00125874" w:rsidRPr="00B2558E" w:rsidRDefault="00B2558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قيام الطلبة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باجراء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التطبيقات</w:t>
            </w:r>
          </w:p>
        </w:tc>
        <w:tc>
          <w:tcPr>
            <w:tcW w:w="2337" w:type="dxa"/>
          </w:tcPr>
          <w:p w:rsidR="00125874" w:rsidRPr="00B2558E" w:rsidRDefault="003B4248" w:rsidP="00B2558E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Practices</w:t>
            </w:r>
          </w:p>
        </w:tc>
        <w:tc>
          <w:tcPr>
            <w:tcW w:w="1536" w:type="dxa"/>
          </w:tcPr>
          <w:p w:rsidR="00125874" w:rsidRPr="00B2558E" w:rsidRDefault="00B2558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حلول التمارين</w:t>
            </w:r>
          </w:p>
        </w:tc>
        <w:tc>
          <w:tcPr>
            <w:tcW w:w="1418" w:type="dxa"/>
          </w:tcPr>
          <w:p w:rsidR="00125874" w:rsidRPr="00B2558E" w:rsidRDefault="00B2558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واجبات الطلبة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B2558E" w:rsidRDefault="00B2558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978" w:type="dxa"/>
          </w:tcPr>
          <w:p w:rsidR="00125874" w:rsidRPr="00B2558E" w:rsidRDefault="00B2558E" w:rsidP="00B2558E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</w:tcPr>
          <w:p w:rsidR="00125874" w:rsidRPr="00B2558E" w:rsidRDefault="00B2558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التعرف على الاوراق التجارية والمحاسبة عنها</w:t>
            </w:r>
          </w:p>
        </w:tc>
        <w:tc>
          <w:tcPr>
            <w:tcW w:w="2337" w:type="dxa"/>
          </w:tcPr>
          <w:p w:rsidR="00125874" w:rsidRPr="003B4248" w:rsidRDefault="003B4248" w:rsidP="003B4248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Accounting for Commercial notes</w:t>
            </w:r>
          </w:p>
        </w:tc>
        <w:tc>
          <w:tcPr>
            <w:tcW w:w="1536" w:type="dxa"/>
          </w:tcPr>
          <w:p w:rsidR="00125874" w:rsidRPr="003B4248" w:rsidRDefault="003B4248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B4248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القاء</w:t>
            </w:r>
            <w:r w:rsidRPr="003B4248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B4248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المحاضرات</w:t>
            </w:r>
            <w:r w:rsidRPr="003B4248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B4248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وطرح</w:t>
            </w:r>
            <w:r w:rsidRPr="003B4248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B4248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الاسئلة</w:t>
            </w:r>
            <w:r w:rsidRPr="003B4248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3B4248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والواجبا</w:t>
            </w:r>
            <w:r w:rsidR="00BA1EB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418" w:type="dxa"/>
          </w:tcPr>
          <w:p w:rsidR="00125874" w:rsidRPr="003B4248" w:rsidRDefault="003B4248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اسئلة شفوية وتحريرية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3B4248" w:rsidRDefault="003B4248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978" w:type="dxa"/>
          </w:tcPr>
          <w:p w:rsidR="00125874" w:rsidRPr="003B4248" w:rsidRDefault="003B4248" w:rsidP="003B4248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</w:tcPr>
          <w:p w:rsidR="00125874" w:rsidRPr="003B4248" w:rsidRDefault="003B4248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قيام الطلبة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باجراء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تطبيقات</w:t>
            </w:r>
          </w:p>
        </w:tc>
        <w:tc>
          <w:tcPr>
            <w:tcW w:w="2337" w:type="dxa"/>
          </w:tcPr>
          <w:p w:rsidR="00125874" w:rsidRPr="003B4248" w:rsidRDefault="003B4248" w:rsidP="003B4248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Practices</w:t>
            </w:r>
          </w:p>
        </w:tc>
        <w:tc>
          <w:tcPr>
            <w:tcW w:w="1536" w:type="dxa"/>
          </w:tcPr>
          <w:p w:rsidR="00125874" w:rsidRPr="003B4248" w:rsidRDefault="003B4248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حلول التمارين</w:t>
            </w:r>
          </w:p>
        </w:tc>
        <w:tc>
          <w:tcPr>
            <w:tcW w:w="1418" w:type="dxa"/>
          </w:tcPr>
          <w:p w:rsidR="00125874" w:rsidRPr="003B4248" w:rsidRDefault="003B4248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واجبات الطلبة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3B4248" w:rsidRDefault="003B4248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الحادي عشر</w:t>
            </w:r>
          </w:p>
        </w:tc>
        <w:tc>
          <w:tcPr>
            <w:tcW w:w="978" w:type="dxa"/>
          </w:tcPr>
          <w:p w:rsidR="00125874" w:rsidRPr="003B4248" w:rsidRDefault="003B4248" w:rsidP="003B4248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</w:tcPr>
          <w:p w:rsidR="00125874" w:rsidRPr="003B4248" w:rsidRDefault="003B4248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فهم قيود التسوية</w:t>
            </w:r>
          </w:p>
        </w:tc>
        <w:tc>
          <w:tcPr>
            <w:tcW w:w="2337" w:type="dxa"/>
          </w:tcPr>
          <w:p w:rsidR="00125874" w:rsidRPr="003B4248" w:rsidRDefault="003B4248" w:rsidP="003B4248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Adjusting Entries</w:t>
            </w:r>
          </w:p>
        </w:tc>
        <w:tc>
          <w:tcPr>
            <w:tcW w:w="1536" w:type="dxa"/>
          </w:tcPr>
          <w:p w:rsidR="00125874" w:rsidRPr="00BA1EB4" w:rsidRDefault="00BA1EB4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القاء</w:t>
            </w:r>
            <w:r w:rsidRPr="00BA1EB4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المحاضرات</w:t>
            </w:r>
            <w:r w:rsidRPr="00BA1EB4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وطرح</w:t>
            </w:r>
            <w:r w:rsidRPr="00BA1EB4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الاسئلة</w:t>
            </w:r>
            <w:r w:rsidRPr="00BA1EB4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والواجبات</w:t>
            </w:r>
          </w:p>
        </w:tc>
        <w:tc>
          <w:tcPr>
            <w:tcW w:w="1418" w:type="dxa"/>
          </w:tcPr>
          <w:p w:rsidR="00BA1EB4" w:rsidRDefault="00BA1EB4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اسئلة شفوية </w:t>
            </w:r>
          </w:p>
          <w:p w:rsidR="00BA1EB4" w:rsidRDefault="00BA1EB4" w:rsidP="00BA1EB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25874" w:rsidRPr="00BA1EB4" w:rsidRDefault="00BA1EB4" w:rsidP="00BA1EB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وتحريرية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BA1EB4" w:rsidRDefault="00BA1EB4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 عشر</w:t>
            </w:r>
          </w:p>
        </w:tc>
        <w:tc>
          <w:tcPr>
            <w:tcW w:w="978" w:type="dxa"/>
          </w:tcPr>
          <w:p w:rsidR="00125874" w:rsidRPr="00BA1EB4" w:rsidRDefault="00BA1EB4" w:rsidP="00BA1EB4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</w:tcPr>
          <w:p w:rsidR="00125874" w:rsidRPr="00BA1EB4" w:rsidRDefault="00BA1EB4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قيام الطلبة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باجراء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الواجبات</w:t>
            </w:r>
          </w:p>
        </w:tc>
        <w:tc>
          <w:tcPr>
            <w:tcW w:w="2337" w:type="dxa"/>
          </w:tcPr>
          <w:p w:rsidR="00125874" w:rsidRPr="00BA1EB4" w:rsidRDefault="00BA1EB4" w:rsidP="00BA1EB4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Practices</w:t>
            </w:r>
          </w:p>
        </w:tc>
        <w:tc>
          <w:tcPr>
            <w:tcW w:w="1536" w:type="dxa"/>
          </w:tcPr>
          <w:p w:rsidR="00125874" w:rsidRPr="00BA1EB4" w:rsidRDefault="00BA1EB4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حلول التمارين</w:t>
            </w:r>
          </w:p>
        </w:tc>
        <w:tc>
          <w:tcPr>
            <w:tcW w:w="1418" w:type="dxa"/>
          </w:tcPr>
          <w:p w:rsidR="00125874" w:rsidRPr="00BA1EB4" w:rsidRDefault="00BA1EB4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واجبات الطلبة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BA1EB4" w:rsidRDefault="00BA1EB4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 عشر</w:t>
            </w:r>
          </w:p>
        </w:tc>
        <w:tc>
          <w:tcPr>
            <w:tcW w:w="978" w:type="dxa"/>
          </w:tcPr>
          <w:p w:rsidR="00125874" w:rsidRPr="00BA1EB4" w:rsidRDefault="00BA1EB4" w:rsidP="00BA1EB4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</w:tcPr>
          <w:p w:rsidR="00125874" w:rsidRPr="00BA1EB4" w:rsidRDefault="00BA1EB4" w:rsidP="00971954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فهم الكشوفات المالية وكيفية تحضيرها</w:t>
            </w:r>
          </w:p>
        </w:tc>
        <w:tc>
          <w:tcPr>
            <w:tcW w:w="2337" w:type="dxa"/>
          </w:tcPr>
          <w:p w:rsidR="00125874" w:rsidRPr="00BA1EB4" w:rsidRDefault="00BA1EB4" w:rsidP="00BA1EB4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Financial Statements</w:t>
            </w:r>
          </w:p>
        </w:tc>
        <w:tc>
          <w:tcPr>
            <w:tcW w:w="1536" w:type="dxa"/>
          </w:tcPr>
          <w:p w:rsidR="00125874" w:rsidRPr="00BA1EB4" w:rsidRDefault="00BA1EB4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القاء</w:t>
            </w:r>
            <w:r w:rsidRPr="00BA1EB4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المحاضرات</w:t>
            </w:r>
            <w:r w:rsidRPr="00BA1EB4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وطرح</w:t>
            </w:r>
            <w:r w:rsidRPr="00BA1EB4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الاسئلة</w:t>
            </w:r>
            <w:r w:rsidRPr="00BA1EB4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A1EB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والواجبات</w:t>
            </w:r>
          </w:p>
        </w:tc>
        <w:tc>
          <w:tcPr>
            <w:tcW w:w="1418" w:type="dxa"/>
          </w:tcPr>
          <w:p w:rsidR="00125874" w:rsidRPr="007B70FE" w:rsidRDefault="007B70F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اسئلة شفوية وتحريرية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7B70FE" w:rsidRDefault="007B70F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 عشر</w:t>
            </w:r>
          </w:p>
        </w:tc>
        <w:tc>
          <w:tcPr>
            <w:tcW w:w="978" w:type="dxa"/>
          </w:tcPr>
          <w:p w:rsidR="00125874" w:rsidRPr="007B70FE" w:rsidRDefault="007B70FE" w:rsidP="007B70FE">
            <w:pPr>
              <w:bidi/>
              <w:jc w:val="right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</w:tcPr>
          <w:p w:rsidR="00125874" w:rsidRPr="007B70FE" w:rsidRDefault="007B70F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قيام الطلبة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باجراء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الواجبات</w:t>
            </w:r>
          </w:p>
        </w:tc>
        <w:tc>
          <w:tcPr>
            <w:tcW w:w="2337" w:type="dxa"/>
          </w:tcPr>
          <w:p w:rsidR="00125874" w:rsidRPr="007B70FE" w:rsidRDefault="007B70FE" w:rsidP="007B70FE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Practices</w:t>
            </w:r>
          </w:p>
        </w:tc>
        <w:tc>
          <w:tcPr>
            <w:tcW w:w="1536" w:type="dxa"/>
          </w:tcPr>
          <w:p w:rsidR="00125874" w:rsidRPr="007B70FE" w:rsidRDefault="007B70F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حلول التمارين</w:t>
            </w:r>
          </w:p>
        </w:tc>
        <w:tc>
          <w:tcPr>
            <w:tcW w:w="1418" w:type="dxa"/>
          </w:tcPr>
          <w:p w:rsidR="00125874" w:rsidRPr="007B70FE" w:rsidRDefault="007B70F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واجبات الطلبة</w:t>
            </w: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7B70FE" w:rsidRDefault="007B70FE" w:rsidP="0097195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الخامس عشر</w:t>
            </w:r>
          </w:p>
        </w:tc>
        <w:tc>
          <w:tcPr>
            <w:tcW w:w="978" w:type="dxa"/>
          </w:tcPr>
          <w:p w:rsidR="00125874" w:rsidRPr="007B70FE" w:rsidRDefault="007B70FE" w:rsidP="007B70FE">
            <w:pPr>
              <w:bidi/>
              <w:jc w:val="right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2404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37" w:type="dxa"/>
          </w:tcPr>
          <w:p w:rsidR="00125874" w:rsidRPr="007B70FE" w:rsidRDefault="007B70FE" w:rsidP="007B70FE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lang w:val="en-US" w:bidi="ar-IQ"/>
              </w:rPr>
              <w:t>Final exam</w:t>
            </w:r>
          </w:p>
        </w:tc>
        <w:tc>
          <w:tcPr>
            <w:tcW w:w="1536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04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37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6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04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37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6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04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37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6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04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37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6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04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37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6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C0CEF" w:rsidRPr="00125874" w:rsidTr="00B2558E">
        <w:trPr>
          <w:trHeight w:val="547"/>
        </w:trPr>
        <w:tc>
          <w:tcPr>
            <w:tcW w:w="102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04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37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6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الكتب والمراجع التي يوصي بيها (المجلات 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العلمية،التقارير</w:t>
            </w:r>
            <w:proofErr w:type="spell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الالكترونية،مواقع</w:t>
            </w:r>
            <w:proofErr w:type="spell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24" w:rsidRDefault="00DC0324" w:rsidP="00CA735C">
      <w:pPr>
        <w:spacing w:after="0" w:line="240" w:lineRule="auto"/>
      </w:pPr>
      <w:r>
        <w:separator/>
      </w:r>
    </w:p>
  </w:endnote>
  <w:endnote w:type="continuationSeparator" w:id="0">
    <w:p w:rsidR="00DC0324" w:rsidRDefault="00DC032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3525F0" w:rsidP="00CA735C">
    <w:pPr>
      <w:pStyle w:val="a5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64588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94391AE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24" w:rsidRDefault="00DC0324" w:rsidP="00CA735C">
      <w:pPr>
        <w:spacing w:after="0" w:line="240" w:lineRule="auto"/>
      </w:pPr>
      <w:r>
        <w:separator/>
      </w:r>
    </w:p>
  </w:footnote>
  <w:footnote w:type="continuationSeparator" w:id="0">
    <w:p w:rsidR="00DC0324" w:rsidRDefault="00DC032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5A07"/>
    <w:multiLevelType w:val="hybridMultilevel"/>
    <w:tmpl w:val="E65603B2"/>
    <w:lvl w:ilvl="0" w:tplc="6A5CE244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9451E94"/>
    <w:multiLevelType w:val="hybridMultilevel"/>
    <w:tmpl w:val="F744B430"/>
    <w:lvl w:ilvl="0" w:tplc="7B2CD1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230C4"/>
    <w:rsid w:val="00050D72"/>
    <w:rsid w:val="00125874"/>
    <w:rsid w:val="0013598D"/>
    <w:rsid w:val="00145B97"/>
    <w:rsid w:val="0014681F"/>
    <w:rsid w:val="001C0CEF"/>
    <w:rsid w:val="002E5343"/>
    <w:rsid w:val="0030691E"/>
    <w:rsid w:val="003525F0"/>
    <w:rsid w:val="003B4248"/>
    <w:rsid w:val="004172D0"/>
    <w:rsid w:val="00451536"/>
    <w:rsid w:val="004F5E75"/>
    <w:rsid w:val="00542B55"/>
    <w:rsid w:val="005D6AED"/>
    <w:rsid w:val="00671845"/>
    <w:rsid w:val="0072096C"/>
    <w:rsid w:val="007A343A"/>
    <w:rsid w:val="007B70FE"/>
    <w:rsid w:val="007C0C0D"/>
    <w:rsid w:val="007F087B"/>
    <w:rsid w:val="008177E3"/>
    <w:rsid w:val="008273E0"/>
    <w:rsid w:val="00847C41"/>
    <w:rsid w:val="00874013"/>
    <w:rsid w:val="008B21DB"/>
    <w:rsid w:val="00AC5C2F"/>
    <w:rsid w:val="00B03952"/>
    <w:rsid w:val="00B17AD2"/>
    <w:rsid w:val="00B2558E"/>
    <w:rsid w:val="00B71CFF"/>
    <w:rsid w:val="00BA1EB4"/>
    <w:rsid w:val="00BE6F4B"/>
    <w:rsid w:val="00C1142A"/>
    <w:rsid w:val="00CA735C"/>
    <w:rsid w:val="00D027B3"/>
    <w:rsid w:val="00DC0324"/>
    <w:rsid w:val="00E246F5"/>
    <w:rsid w:val="00E6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2o1O</cp:lastModifiedBy>
  <cp:revision>3</cp:revision>
  <dcterms:created xsi:type="dcterms:W3CDTF">2018-09-30T02:13:00Z</dcterms:created>
  <dcterms:modified xsi:type="dcterms:W3CDTF">2020-09-26T07:14:00Z</dcterms:modified>
</cp:coreProperties>
</file>