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100DBE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13598D" w:rsidRDefault="0013598D" w:rsidP="0013598D">
                  <w:pPr>
                    <w:bidi/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418BD" w:rsidRDefault="001418BD" w:rsidP="00B71CF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1418BD">
              <w:rPr>
                <w:rFonts w:hint="cs"/>
                <w:sz w:val="32"/>
                <w:szCs w:val="32"/>
                <w:rtl/>
                <w:lang w:bidi="ar-IQ"/>
              </w:rPr>
              <w:t>كلية الاداره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418BD" w:rsidRDefault="001418BD" w:rsidP="00B71CF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1418BD">
              <w:rPr>
                <w:rFonts w:hint="cs"/>
                <w:sz w:val="32"/>
                <w:szCs w:val="32"/>
                <w:rtl/>
                <w:lang w:bidi="ar-IQ"/>
              </w:rPr>
              <w:t>الاداره الصناعيه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418BD" w:rsidRDefault="001418BD" w:rsidP="00B71CFF">
            <w:pPr>
              <w:bidi/>
              <w:rPr>
                <w:sz w:val="32"/>
                <w:szCs w:val="32"/>
                <w:rtl/>
                <w:lang w:bidi="ar-IQ"/>
              </w:rPr>
            </w:pPr>
            <w:r w:rsidRPr="001418BD">
              <w:rPr>
                <w:rFonts w:hint="cs"/>
                <w:sz w:val="32"/>
                <w:szCs w:val="32"/>
                <w:rtl/>
                <w:lang w:bidi="ar-IQ"/>
              </w:rPr>
              <w:t>نظم التخطيط والسيطره على الانتاج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1418BD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125874" w:rsidRDefault="001418BD" w:rsidP="007D1ED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  <w:r w:rsidR="007D1E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-20</w:t>
            </w:r>
            <w:r w:rsidR="007D1ED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565030" w:rsidP="00565030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45</w:t>
            </w:r>
            <w:r w:rsidR="001418B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ساعه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لكل كورس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125874" w:rsidRDefault="00565030" w:rsidP="00494AF4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/2/2020</w:t>
            </w:r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  <w:r w:rsidR="005A51F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    </w:t>
            </w:r>
          </w:p>
        </w:tc>
      </w:tr>
      <w:tr w:rsidR="00125874" w:rsidRPr="00125874" w:rsidTr="00B11773">
        <w:trPr>
          <w:trHeight w:val="4364"/>
        </w:trPr>
        <w:tc>
          <w:tcPr>
            <w:tcW w:w="9016" w:type="dxa"/>
            <w:gridSpan w:val="2"/>
          </w:tcPr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  <w:p w:rsidR="005A51F5" w:rsidRPr="00125874" w:rsidRDefault="005A51F5" w:rsidP="005A51F5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193B88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معالجة المشاكل الإدارية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والانتاجيه </w:t>
            </w:r>
            <w:r w:rsidRPr="00193B88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باستخدام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الاساليب الكميه و</w:t>
            </w:r>
            <w:r w:rsidRPr="00193B88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بحوث العمليات (الرياضية والإحصائية) لمساعدة متخذ القرار في اتخاذ القرار الأمثل في ظل ندرة الموارد المتاحة</w:t>
            </w: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Default="00B71CFF" w:rsidP="005A51F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5A51F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المعرفة والفهم </w:t>
            </w:r>
          </w:p>
          <w:p w:rsidR="005A51F5" w:rsidRPr="005A51F5" w:rsidRDefault="005A51F5" w:rsidP="005A51F5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1. ادارة وتخطيط الخطوط الانتاجيه وحل المشاكل التي يتعرض لها الخط</w:t>
            </w:r>
          </w:p>
          <w:p w:rsidR="005A51F5" w:rsidRDefault="005A51F5" w:rsidP="005A51F5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2. </w:t>
            </w:r>
            <w:r w:rsidRPr="005A51F5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مساعدة متخذ القرار في اتخاذ القرار الأمثل في ظل ندرة الموارد المتاحة</w:t>
            </w:r>
          </w:p>
          <w:p w:rsidR="005A51F5" w:rsidRPr="005A51F5" w:rsidRDefault="005A51F5" w:rsidP="005A51F5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3 </w:t>
            </w:r>
            <w:r w:rsidRPr="005A51F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. معالجة المشاكل الإدارية باستخدام الأساليب الكمية (الرياضية والإحصائية)</w:t>
            </w:r>
          </w:p>
          <w:p w:rsidR="005A51F5" w:rsidRPr="005A51F5" w:rsidRDefault="005A51F5" w:rsidP="005A51F5">
            <w:pPr>
              <w:pStyle w:val="ListParagraph"/>
              <w:autoSpaceDE w:val="0"/>
              <w:autoSpaceDN w:val="0"/>
              <w:bidi/>
              <w:adjustRightInd w:val="0"/>
              <w:ind w:left="79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4. </w:t>
            </w: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5A51F5" w:rsidRPr="0027614A" w:rsidRDefault="005A51F5" w:rsidP="005A51F5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5. </w:t>
            </w: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وفهم الأساليب الرياضية المختلفة المستخدمة في حل وتحليل البيانات</w:t>
            </w:r>
          </w:p>
          <w:p w:rsidR="00125874" w:rsidRPr="005A51F5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CC537C" w:rsidRPr="00125874" w:rsidRDefault="00CC537C" w:rsidP="00CC537C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CC537C" w:rsidRDefault="00CC537C" w:rsidP="00CC53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C537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معالجة</w:t>
            </w:r>
            <w:r w:rsidRPr="00CC537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المشاكل الواقعية في الشركات والمؤسسات الخدمية والانتاجية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باستخدام الاساليب العلميه</w:t>
            </w:r>
          </w:p>
          <w:p w:rsidR="00CC537C" w:rsidRDefault="00CC537C" w:rsidP="00CC53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استخدام  برامج الحاسوب في حل المشاكل الانتاجيه</w:t>
            </w:r>
          </w:p>
          <w:p w:rsidR="00CC537C" w:rsidRPr="00CC537C" w:rsidRDefault="00CC537C" w:rsidP="00CC537C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معرفة وتعلم كيفية استخدام البرامج الجاهزة التي تعنى بحل وتحليل النماذج الرياضية المختلفة</w:t>
            </w:r>
          </w:p>
          <w:p w:rsidR="00CC537C" w:rsidRPr="0027614A" w:rsidRDefault="00CC537C" w:rsidP="00CC537C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CC537C" w:rsidRDefault="00CC537C" w:rsidP="00CC53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C537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مهارات في معالجة المشاكل الواقعيه</w:t>
            </w:r>
          </w:p>
          <w:p w:rsidR="00CC537C" w:rsidRDefault="00CC537C" w:rsidP="00CC53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تعلم كيفية استخدام المعادلات الرياضية وكيفية حلها حلا امثلا</w:t>
            </w:r>
          </w:p>
          <w:p w:rsidR="00CC537C" w:rsidRPr="00CC537C" w:rsidRDefault="00CC537C" w:rsidP="00CC537C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C537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التعلم حول استخدام البرامج الجاهزة في حل النماذج الرياضية</w:t>
            </w:r>
            <w:r w:rsidRPr="00CC537C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CC537C" w:rsidRPr="00CC537C" w:rsidRDefault="00CC537C" w:rsidP="00CC537C">
            <w:pPr>
              <w:pStyle w:val="ListParagraph"/>
              <w:autoSpaceDE w:val="0"/>
              <w:autoSpaceDN w:val="0"/>
              <w:bidi/>
              <w:adjustRightInd w:val="0"/>
              <w:ind w:left="97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  <w:r w:rsidR="00CC537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A6F7C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/ الاختبارات اليومية والفصلية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CC537C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اختبارات فصليه يوميه</w:t>
            </w: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100DBE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 id="Text Box 4" o:spid="_x0000_s1027" type="#_x0000_t202" style="position:absolute;left:0;text-align:left;margin-left:-3.7pt;margin-top:-18.4pt;width:461.25pt;height:142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<v:textbox>
              <w:txbxContent>
                <w:p w:rsidR="008273E0" w:rsidRDefault="008273E0" w:rsidP="008273E0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12587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CC537C" w:rsidRPr="0027614A" w:rsidRDefault="00CC537C" w:rsidP="00CC537C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27614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اكتساب خبرة في معالجة المشاكل الواقعية باستخدام اسالليب علمية</w:t>
                  </w:r>
                </w:p>
                <w:p w:rsidR="00CC537C" w:rsidRPr="0027614A" w:rsidRDefault="00CC537C" w:rsidP="00CC537C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27614A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د2-</w:t>
                  </w:r>
                  <w:r w:rsidRPr="0027614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اكتساب خبرة في مجال تحليل البيانات</w:t>
                  </w:r>
                </w:p>
                <w:p w:rsidR="00CC537C" w:rsidRPr="0027614A" w:rsidRDefault="00CC537C" w:rsidP="00CC537C">
                  <w:pPr>
                    <w:tabs>
                      <w:tab w:val="left" w:pos="687"/>
                    </w:tabs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27614A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د3-</w:t>
                  </w:r>
                  <w:r w:rsidRPr="0027614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اكتساب خبرة في </w:t>
                  </w: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استخدام الحاسوب</w:t>
                  </w:r>
                  <w:r w:rsidRPr="0027614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  <w:p w:rsidR="00CC537C" w:rsidRPr="00125874" w:rsidRDefault="00CC537C" w:rsidP="00CC537C">
                  <w:pPr>
                    <w:jc w:val="right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27614A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د4-  </w:t>
                  </w:r>
                  <w:r w:rsidRPr="0027614A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اكتساب خبرة في استخدام البرامج التي تعنى بحل المشاكل بحوث العمليات (الرياضية والكمية)</w:t>
                  </w:r>
                </w:p>
                <w:p w:rsidR="008273E0" w:rsidRDefault="008273E0" w:rsidP="00CC537C">
                  <w:pPr>
                    <w:bidi/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Default="00125874" w:rsidP="00B71CFF">
                  <w:pPr>
                    <w:jc w:val="center"/>
                    <w:rPr>
                      <w:lang w:bidi="ar-IQ"/>
                    </w:rPr>
                  </w:pPr>
                </w:p>
                <w:p w:rsidR="00125874" w:rsidRPr="00125874" w:rsidRDefault="00125874" w:rsidP="00B71CFF">
                  <w:pPr>
                    <w:jc w:val="center"/>
                    <w:rPr>
                      <w:lang w:val="en-US" w:bidi="ar-IQ"/>
                    </w:rPr>
                  </w:pPr>
                </w:p>
              </w:txbxContent>
            </v:textbox>
          </v:shape>
        </w:pic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978"/>
        <w:gridCol w:w="2398"/>
        <w:gridCol w:w="2412"/>
        <w:gridCol w:w="1360"/>
        <w:gridCol w:w="1615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8273E0" w:rsidRPr="00125874" w:rsidTr="00E449D1">
        <w:trPr>
          <w:trHeight w:val="551"/>
        </w:trPr>
        <w:tc>
          <w:tcPr>
            <w:tcW w:w="93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97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398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12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360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615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C1797A" w:rsidRPr="00125874" w:rsidTr="006F5290">
        <w:trPr>
          <w:trHeight w:val="547"/>
        </w:trPr>
        <w:tc>
          <w:tcPr>
            <w:tcW w:w="938" w:type="dxa"/>
            <w:vAlign w:val="center"/>
          </w:tcPr>
          <w:p w:rsidR="00C1797A" w:rsidRPr="00125874" w:rsidRDefault="00C1797A" w:rsidP="00C1797A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val="en-US"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val="en-US" w:bidi="ar-IQ"/>
              </w:rPr>
              <w:t>1</w:t>
            </w:r>
          </w:p>
        </w:tc>
        <w:tc>
          <w:tcPr>
            <w:tcW w:w="978" w:type="dxa"/>
            <w:vAlign w:val="center"/>
          </w:tcPr>
          <w:p w:rsidR="00C1797A" w:rsidRPr="00125874" w:rsidRDefault="00C1797A" w:rsidP="00C1797A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التخطيط الاجمالي/ مفاهيم عامة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6F5290">
        <w:trPr>
          <w:trHeight w:val="547"/>
        </w:trPr>
        <w:tc>
          <w:tcPr>
            <w:tcW w:w="938" w:type="dxa"/>
            <w:vAlign w:val="center"/>
          </w:tcPr>
          <w:p w:rsidR="00C1797A" w:rsidRPr="00125874" w:rsidRDefault="00C1797A" w:rsidP="00C1797A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978" w:type="dxa"/>
            <w:vAlign w:val="center"/>
          </w:tcPr>
          <w:p w:rsidR="00C1797A" w:rsidRPr="00125874" w:rsidRDefault="00C1797A" w:rsidP="00C1797A">
            <w:pPr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استراتيجيات التخطيط الاجمالي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6F5290">
        <w:trPr>
          <w:trHeight w:val="547"/>
        </w:trPr>
        <w:tc>
          <w:tcPr>
            <w:tcW w:w="938" w:type="dxa"/>
            <w:vAlign w:val="center"/>
          </w:tcPr>
          <w:p w:rsidR="00C1797A" w:rsidRPr="00125874" w:rsidRDefault="00C1797A" w:rsidP="00C1797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978" w:type="dxa"/>
            <w:vAlign w:val="center"/>
          </w:tcPr>
          <w:p w:rsidR="00C1797A" w:rsidRPr="00125874" w:rsidRDefault="00C1797A" w:rsidP="00C1797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الاسترتيجيات الصرفة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6F5290">
        <w:trPr>
          <w:trHeight w:val="547"/>
        </w:trPr>
        <w:tc>
          <w:tcPr>
            <w:tcW w:w="938" w:type="dxa"/>
            <w:vAlign w:val="center"/>
          </w:tcPr>
          <w:p w:rsidR="00C1797A" w:rsidRPr="00125874" w:rsidRDefault="00C1797A" w:rsidP="00C1797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978" w:type="dxa"/>
            <w:vAlign w:val="center"/>
          </w:tcPr>
          <w:p w:rsidR="00C1797A" w:rsidRPr="00125874" w:rsidRDefault="00C1797A" w:rsidP="00C1797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الاسترتيجيات الصرفة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C1797A" w:rsidRPr="00125874" w:rsidTr="006F5290">
        <w:trPr>
          <w:trHeight w:val="547"/>
        </w:trPr>
        <w:tc>
          <w:tcPr>
            <w:tcW w:w="938" w:type="dxa"/>
            <w:vAlign w:val="center"/>
          </w:tcPr>
          <w:p w:rsidR="00C1797A" w:rsidRPr="00125874" w:rsidRDefault="00C1797A" w:rsidP="00C1797A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978" w:type="dxa"/>
            <w:vAlign w:val="center"/>
          </w:tcPr>
          <w:p w:rsidR="00C1797A" w:rsidRPr="00125874" w:rsidRDefault="00C1797A" w:rsidP="00C1797A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80527C">
              <w:rPr>
                <w:rFonts w:ascii="Sakkal Majalla" w:hAnsi="Sakkal Majalla" w:cs="Sakkal Majalla"/>
                <w:b/>
                <w:bCs/>
              </w:rPr>
              <w:t xml:space="preserve">Material Requirement Planning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418BD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7D1EDD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منطق المعالجة في</w:t>
            </w:r>
            <w:r w:rsidRPr="0080527C">
              <w:rPr>
                <w:rFonts w:ascii="Sakkal Majalla" w:hAnsi="Sakkal Majalla" w:cs="Sakkal Majalla"/>
                <w:b/>
                <w:bCs/>
              </w:rPr>
              <w:t xml:space="preserve"> MRP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418BD" w:rsidRDefault="00C1797A" w:rsidP="00C17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7D1EDD" w:rsidRDefault="007D1EDD" w:rsidP="00C1797A">
            <w:pPr>
              <w:bidi/>
              <w:rPr>
                <w:rFonts w:ascii="Sakkal Majalla" w:hAnsi="Sakkal Majalla" w:cs="Sakkal Majalla"/>
                <w:b/>
                <w:bCs/>
                <w:lang w:val="en-US" w:bidi="ar-IQ"/>
              </w:rPr>
            </w:pPr>
          </w:p>
          <w:p w:rsidR="00C1797A" w:rsidRPr="0080527C" w:rsidRDefault="007D1EDD" w:rsidP="007D1EDD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سياسات تحديد حجم الدفعة</w:t>
            </w:r>
            <w:r w:rsidR="00C1797A" w:rsidRPr="0080527C">
              <w:rPr>
                <w:rFonts w:ascii="Sakkal Majalla" w:hAnsi="Sakkal Majalla" w:cs="Sakkal Majalla"/>
                <w:b/>
                <w:bCs/>
              </w:rPr>
              <w:t xml:space="preserve">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سياسات تحديد حجم الدفعة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9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الكمية الاقتصادية للطلب</w:t>
            </w:r>
            <w:r w:rsidRPr="0080527C">
              <w:rPr>
                <w:rFonts w:ascii="Sakkal Majalla" w:hAnsi="Sakkal Majalla" w:cs="Sakkal Majalla"/>
                <w:b/>
                <w:bCs/>
              </w:rPr>
              <w:t xml:space="preserve"> EOQ</w:t>
            </w: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كمية الطلب الثابتة</w:t>
            </w:r>
            <w:r w:rsidRPr="0080527C">
              <w:rPr>
                <w:rFonts w:ascii="Sakkal Majalla" w:hAnsi="Sakkal Majalla" w:cs="Sakkal Majalla"/>
                <w:b/>
                <w:bCs/>
              </w:rPr>
              <w:t xml:space="preserve">FOQ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احتياجات الفترة الثابتة</w:t>
            </w:r>
            <w:r w:rsidRPr="0080527C">
              <w:rPr>
                <w:rFonts w:ascii="Sakkal Majalla" w:hAnsi="Sakkal Majalla" w:cs="Sakkal Majalla"/>
                <w:b/>
                <w:bCs/>
              </w:rPr>
              <w:t xml:space="preserve">FPR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كمية الطلب الدورية</w:t>
            </w:r>
            <w:r w:rsidRPr="0080527C">
              <w:rPr>
                <w:rFonts w:ascii="Sakkal Majalla" w:hAnsi="Sakkal Majalla" w:cs="Sakkal Majalla"/>
                <w:b/>
                <w:bCs/>
              </w:rPr>
              <w:t xml:space="preserve">POQ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موازنة الفترة/ جزء</w:t>
            </w:r>
            <w:r w:rsidRPr="0080527C">
              <w:rPr>
                <w:rFonts w:ascii="Sakkal Majalla" w:hAnsi="Sakkal Majalla" w:cs="Sakkal Majalla"/>
                <w:b/>
                <w:bCs/>
              </w:rPr>
              <w:t xml:space="preserve"> PPB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>الكلفة الكلية الاصغرية</w:t>
            </w:r>
            <w:r w:rsidRPr="0080527C">
              <w:rPr>
                <w:rFonts w:ascii="Sakkal Majalla" w:hAnsi="Sakkal Majalla" w:cs="Sakkal Majalla"/>
                <w:b/>
                <w:bCs/>
              </w:rPr>
              <w:t xml:space="preserve"> LTC 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C1797A" w:rsidRPr="00125874" w:rsidTr="00E449D1">
        <w:trPr>
          <w:trHeight w:val="547"/>
        </w:trPr>
        <w:tc>
          <w:tcPr>
            <w:tcW w:w="93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C1797A" w:rsidRPr="00125874" w:rsidRDefault="00C1797A" w:rsidP="00C1797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C1797A" w:rsidRPr="0027614A" w:rsidRDefault="00C1797A" w:rsidP="00C1797A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C1797A" w:rsidRPr="0080527C" w:rsidRDefault="00C1797A" w:rsidP="00C1797A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 xml:space="preserve">علاقة </w:t>
            </w:r>
            <w:r w:rsidRPr="0080527C">
              <w:rPr>
                <w:rFonts w:ascii="Sakkal Majalla" w:hAnsi="Sakkal Majalla" w:cs="Sakkal Majalla"/>
                <w:b/>
                <w:bCs/>
              </w:rPr>
              <w:t>MRP</w:t>
            </w:r>
            <w:r w:rsidRPr="0080527C">
              <w:rPr>
                <w:rFonts w:ascii="Sakkal Majalla" w:hAnsi="Sakkal Majalla" w:cs="Sakkal Majalla" w:hint="cs"/>
                <w:b/>
                <w:bCs/>
                <w:rtl/>
              </w:rPr>
              <w:t xml:space="preserve"> مع انظمة الانتاج الاخرى</w:t>
            </w:r>
          </w:p>
        </w:tc>
        <w:tc>
          <w:tcPr>
            <w:tcW w:w="1360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C1797A" w:rsidRPr="0027614A" w:rsidRDefault="00C1797A" w:rsidP="00C1797A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Pr="00125874" w:rsidRDefault="00626FAF" w:rsidP="0056503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78" w:type="dxa"/>
          </w:tcPr>
          <w:p w:rsidR="00626FAF" w:rsidRPr="00125874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565030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>
              <w:rPr>
                <w:rFonts w:ascii="Sakkal Majalla" w:hAnsi="Sakkal Majalla" w:cs="Sakkal Majalla"/>
                <w:b/>
                <w:bCs/>
              </w:rPr>
              <w:t>LTC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Pr="00125874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626FAF" w:rsidRPr="00125874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Default="00626FAF" w:rsidP="00626FAF">
            <w:pPr>
              <w:bidi/>
              <w:jc w:val="center"/>
            </w:pPr>
            <w:r w:rsidRPr="00087F62">
              <w:rPr>
                <w:rFonts w:ascii="Sakkal Majalla" w:hAnsi="Sakkal Majalla" w:cs="Sakkal Majalla"/>
                <w:b/>
                <w:bCs/>
              </w:rPr>
              <w:t>LTC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Pr="00125874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626FAF" w:rsidRPr="00125874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565030" w:rsidRDefault="00626FAF" w:rsidP="00626FAF">
            <w:pPr>
              <w:bidi/>
              <w:jc w:val="center"/>
              <w:rPr>
                <w:lang w:val="en-US"/>
              </w:rPr>
            </w:pPr>
            <w:r w:rsidRPr="00087F62">
              <w:rPr>
                <w:rFonts w:ascii="Sakkal Majalla" w:hAnsi="Sakkal Majalla" w:cs="Sakkal Majalla"/>
                <w:b/>
                <w:bCs/>
              </w:rPr>
              <w:t>LTC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Pr="00125874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626FAF" w:rsidRPr="00125874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80527C" w:rsidRDefault="00626FAF" w:rsidP="00626FAF">
            <w:pPr>
              <w:bidi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مراجعة لكل سياسات اطلاق حجوك الدفعات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Pr="00125874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626FAF" w:rsidRPr="00125874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IQ"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>االانتاج بالوقت المحدد (</w:t>
            </w:r>
            <w:r w:rsidRPr="00CD0CF2">
              <w:rPr>
                <w:rFonts w:ascii="Sakkal Majalla" w:hAnsi="Sakkal Majalla" w:cs="Sakkal Majalla"/>
                <w:b/>
                <w:bCs/>
              </w:rPr>
              <w:t xml:space="preserve">JIT </w:t>
            </w: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D0CF2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)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Pr="00125874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626FAF" w:rsidRPr="00125874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>مفهوم خصائص فوائد الانتاج بالوقت المحدد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 xml:space="preserve">الية عمل  </w:t>
            </w:r>
            <w:r w:rsidRPr="00CD0CF2">
              <w:rPr>
                <w:rFonts w:ascii="Sakkal Majalla" w:hAnsi="Sakkal Majalla" w:cs="Sakkal Majalla"/>
                <w:b/>
                <w:bCs/>
              </w:rPr>
              <w:t>JIT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>نظام كانبان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>مفهوم واهمية وخصائص كانبان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10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>التطبيق الرياضي لكانبان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565030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>تكنولوجيا الانتاج الامثل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>تكنولوجيا الانتاج الامثل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 xml:space="preserve">قواعد ال </w:t>
            </w:r>
            <w:r w:rsidRPr="00CD0CF2">
              <w:rPr>
                <w:rFonts w:ascii="Sakkal Majalla" w:hAnsi="Sakkal Majalla" w:cs="Sakkal Majalla"/>
                <w:b/>
                <w:bCs/>
              </w:rPr>
              <w:t>OPT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b/>
                <w:bCs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 xml:space="preserve">قواعد ال </w:t>
            </w:r>
            <w:r w:rsidRPr="00CD0CF2">
              <w:rPr>
                <w:rFonts w:ascii="Sakkal Majalla" w:hAnsi="Sakkal Majalla" w:cs="Sakkal Majalla"/>
                <w:b/>
                <w:bCs/>
              </w:rPr>
              <w:t>OPT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626FAF" w:rsidRPr="00125874" w:rsidTr="00E449D1">
        <w:trPr>
          <w:trHeight w:val="547"/>
        </w:trPr>
        <w:tc>
          <w:tcPr>
            <w:tcW w:w="938" w:type="dxa"/>
          </w:tcPr>
          <w:p w:rsidR="00626FAF" w:rsidRDefault="00565030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626FAF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98" w:type="dxa"/>
          </w:tcPr>
          <w:p w:rsidR="00626FAF" w:rsidRPr="0027614A" w:rsidRDefault="00626FAF" w:rsidP="00626FAF">
            <w:pPr>
              <w:bidi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2" w:type="dxa"/>
          </w:tcPr>
          <w:p w:rsidR="00626FAF" w:rsidRPr="00CD0CF2" w:rsidRDefault="00626FAF" w:rsidP="00626FAF">
            <w:pPr>
              <w:bidi/>
              <w:jc w:val="center"/>
              <w:rPr>
                <w:b/>
                <w:bCs/>
              </w:rPr>
            </w:pPr>
            <w:r w:rsidRPr="00CD0CF2">
              <w:rPr>
                <w:rFonts w:ascii="Sakkal Majalla" w:hAnsi="Sakkal Majalla" w:cs="Sakkal Majalla" w:hint="cs"/>
                <w:b/>
                <w:bCs/>
                <w:rtl/>
                <w:lang w:bidi="ar-IQ"/>
              </w:rPr>
              <w:t>التطبيق الرياضي لل</w:t>
            </w:r>
            <w:r w:rsidRPr="00CD0CF2">
              <w:rPr>
                <w:rFonts w:ascii="Sakkal Majalla" w:hAnsi="Sakkal Majalla" w:cs="Sakkal Majalla" w:hint="cs"/>
                <w:b/>
                <w:bCs/>
                <w:rtl/>
              </w:rPr>
              <w:t xml:space="preserve"> </w:t>
            </w:r>
            <w:r w:rsidRPr="00CD0CF2">
              <w:rPr>
                <w:rFonts w:ascii="Sakkal Majalla" w:hAnsi="Sakkal Majalla" w:cs="Sakkal Majalla"/>
                <w:b/>
                <w:bCs/>
              </w:rPr>
              <w:t>OPT</w:t>
            </w:r>
          </w:p>
        </w:tc>
        <w:tc>
          <w:tcPr>
            <w:tcW w:w="1360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615" w:type="dxa"/>
          </w:tcPr>
          <w:p w:rsidR="00626FAF" w:rsidRPr="0027614A" w:rsidRDefault="00626FAF" w:rsidP="00626FAF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 w:rsidRPr="0027614A">
              <w:rPr>
                <w:rFonts w:ascii="Simplified Arabic" w:hAnsi="Simplified Arabic" w:cs="Simplified Arabic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 w:rsidRPr="0027614A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C1797A" w:rsidRPr="00125874" w:rsidRDefault="000A6F7C" w:rsidP="00C1797A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التخطيط والسيطره على الانتاج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626FAF" w:rsidRDefault="00626FAF" w:rsidP="00626FA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التخطيط والسيطره على الانتاج    د.مؤيد الفضل</w:t>
            </w:r>
          </w:p>
          <w:p w:rsidR="00626FAF" w:rsidRDefault="00626FAF" w:rsidP="00626FAF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الانتاج والعمليات        د. عبدالكريم ، صباح النجار</w:t>
            </w:r>
          </w:p>
          <w:p w:rsidR="008273E0" w:rsidRPr="00125874" w:rsidRDefault="00626FAF" w:rsidP="00626FA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نظم التخطيط والسيطره على النتاج  أ. فائز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8273E0" w:rsidRDefault="00626FAF" w:rsidP="00626FAF">
            <w:pPr>
              <w:bidi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Operation management </w:t>
            </w:r>
          </w:p>
          <w:p w:rsidR="00626FAF" w:rsidRDefault="00626FAF" w:rsidP="00626FAF">
            <w:pPr>
              <w:bidi/>
              <w:jc w:val="right"/>
              <w:rPr>
                <w:rFonts w:ascii="GiovanniStd-Black" w:hAnsi="GiovanniStd-Black" w:cs="GiovanniStd-Black"/>
                <w:sz w:val="20"/>
                <w:szCs w:val="20"/>
                <w:lang w:val="en-US"/>
              </w:rPr>
            </w:pPr>
            <w:r w:rsidRPr="000A6F7C">
              <w:rPr>
                <w:rFonts w:ascii="GiovanniStd-Black" w:hAnsi="GiovanniStd-Black" w:cs="GiovanniStd-Black"/>
                <w:sz w:val="20"/>
                <w:szCs w:val="20"/>
                <w:lang w:val="en-US"/>
              </w:rPr>
              <w:t>JAY HEIZER | BARRY RENDER | CHUCK MUNSON</w:t>
            </w:r>
          </w:p>
          <w:p w:rsidR="000A6F7C" w:rsidRDefault="000A6F7C" w:rsidP="000A6F7C">
            <w:pPr>
              <w:bidi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b/>
                <w:bCs/>
                <w:sz w:val="24"/>
                <w:szCs w:val="24"/>
                <w:lang w:val="en-US" w:bidi="ar-IQ"/>
              </w:rPr>
              <w:t xml:space="preserve">Operation management </w:t>
            </w:r>
          </w:p>
          <w:p w:rsidR="00626FAF" w:rsidRPr="00626FAF" w:rsidRDefault="00626FAF" w:rsidP="00626FAF">
            <w:pPr>
              <w:bidi/>
              <w:jc w:val="right"/>
              <w:rPr>
                <w:b/>
                <w:bCs/>
                <w:sz w:val="24"/>
                <w:szCs w:val="24"/>
                <w:lang w:val="en-US" w:bidi="ar-IQ"/>
              </w:rPr>
            </w:pPr>
            <w:r w:rsidRPr="00626FAF">
              <w:rPr>
                <w:rFonts w:cs="Arial"/>
                <w:b/>
                <w:bCs/>
                <w:noProof/>
                <w:sz w:val="24"/>
                <w:szCs w:val="24"/>
                <w:rtl/>
                <w:lang w:val="en-US"/>
              </w:rPr>
              <w:drawing>
                <wp:inline distT="0" distB="0" distL="0" distR="0">
                  <wp:extent cx="1400175" cy="619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A6F7C" w:rsidRPr="00125874" w:rsidTr="00971954">
        <w:trPr>
          <w:trHeight w:val="692"/>
        </w:trPr>
        <w:tc>
          <w:tcPr>
            <w:tcW w:w="3889" w:type="dxa"/>
          </w:tcPr>
          <w:p w:rsidR="000A6F7C" w:rsidRPr="002F6CF6" w:rsidRDefault="000A6F7C" w:rsidP="000A6F7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F6C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369" w:type="dxa"/>
          </w:tcPr>
          <w:p w:rsidR="000A6F7C" w:rsidRPr="002F6CF6" w:rsidRDefault="000A6F7C" w:rsidP="000A6F7C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F6CF6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العديد من المصادر والدوريات العربية والاجنبية</w:t>
            </w:r>
          </w:p>
        </w:tc>
      </w:tr>
      <w:tr w:rsidR="000A6F7C" w:rsidRPr="00125874" w:rsidTr="00971954">
        <w:trPr>
          <w:trHeight w:val="692"/>
        </w:trPr>
        <w:tc>
          <w:tcPr>
            <w:tcW w:w="3889" w:type="dxa"/>
          </w:tcPr>
          <w:p w:rsidR="000A6F7C" w:rsidRPr="002F6CF6" w:rsidRDefault="000A6F7C" w:rsidP="000A6F7C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2F6CF6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369" w:type="dxa"/>
          </w:tcPr>
          <w:p w:rsidR="000A6F7C" w:rsidRPr="002F6CF6" w:rsidRDefault="000A6F7C" w:rsidP="000A6F7C">
            <w:pPr>
              <w:autoSpaceDE w:val="0"/>
              <w:autoSpaceDN w:val="0"/>
              <w:bidi/>
              <w:adjustRightInd w:val="0"/>
              <w:rPr>
                <w:rFonts w:ascii="Cambria" w:hAnsi="Cambria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0A6F7C" w:rsidRPr="002F6CF6" w:rsidRDefault="000A6F7C" w:rsidP="000A6F7C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من ال</w:t>
            </w:r>
            <w:r w:rsidRPr="002F6CF6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  <w:lang w:bidi="ar-IQ"/>
              </w:rPr>
              <w:t>مكمن معالجة الكثير من المشاكل في المؤسسات و والشركات عن طريق البحوث والدراسات التي تجرى من قبل والاساتذة الاكاديمين الباحثين وطلاب الدراسات العليا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313904" w:rsidP="00B71CFF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ل</w:t>
      </w:r>
    </w:p>
    <w:sectPr w:rsidR="00B71CFF" w:rsidRPr="00125874" w:rsidSect="00CA735C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BE" w:rsidRDefault="00100DBE" w:rsidP="00CA735C">
      <w:pPr>
        <w:spacing w:after="0" w:line="240" w:lineRule="auto"/>
      </w:pPr>
      <w:r>
        <w:separator/>
      </w:r>
    </w:p>
  </w:endnote>
  <w:endnote w:type="continuationSeparator" w:id="0">
    <w:p w:rsidR="00100DBE" w:rsidRDefault="00100DBE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GiovanniStd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100DBE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BE" w:rsidRDefault="00100DBE" w:rsidP="00CA735C">
      <w:pPr>
        <w:spacing w:after="0" w:line="240" w:lineRule="auto"/>
      </w:pPr>
      <w:r>
        <w:separator/>
      </w:r>
    </w:p>
  </w:footnote>
  <w:footnote w:type="continuationSeparator" w:id="0">
    <w:p w:rsidR="00100DBE" w:rsidRDefault="00100DBE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639C"/>
    <w:multiLevelType w:val="hybridMultilevel"/>
    <w:tmpl w:val="5BDC9E26"/>
    <w:lvl w:ilvl="0" w:tplc="914A5774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75F6A"/>
    <w:multiLevelType w:val="hybridMultilevel"/>
    <w:tmpl w:val="6260924A"/>
    <w:lvl w:ilvl="0" w:tplc="B986C5EC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463772D9"/>
    <w:multiLevelType w:val="hybridMultilevel"/>
    <w:tmpl w:val="B4D62534"/>
    <w:lvl w:ilvl="0" w:tplc="A1F0001C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0A6F7C"/>
    <w:rsid w:val="00100DBE"/>
    <w:rsid w:val="00125874"/>
    <w:rsid w:val="0013598D"/>
    <w:rsid w:val="001418BD"/>
    <w:rsid w:val="002A1123"/>
    <w:rsid w:val="002E5343"/>
    <w:rsid w:val="0030691E"/>
    <w:rsid w:val="00313904"/>
    <w:rsid w:val="00451536"/>
    <w:rsid w:val="00494AF4"/>
    <w:rsid w:val="004F5E75"/>
    <w:rsid w:val="00542B55"/>
    <w:rsid w:val="00565030"/>
    <w:rsid w:val="005A51F5"/>
    <w:rsid w:val="005D6AED"/>
    <w:rsid w:val="00626FAF"/>
    <w:rsid w:val="00671845"/>
    <w:rsid w:val="006C5CA1"/>
    <w:rsid w:val="0072096C"/>
    <w:rsid w:val="007C0C0D"/>
    <w:rsid w:val="007D1EDD"/>
    <w:rsid w:val="008273E0"/>
    <w:rsid w:val="00847C41"/>
    <w:rsid w:val="00874013"/>
    <w:rsid w:val="008B21DB"/>
    <w:rsid w:val="009D6503"/>
    <w:rsid w:val="00B03952"/>
    <w:rsid w:val="00B17AD2"/>
    <w:rsid w:val="00B71CFF"/>
    <w:rsid w:val="00C1797A"/>
    <w:rsid w:val="00CA735C"/>
    <w:rsid w:val="00CC537C"/>
    <w:rsid w:val="00D027B3"/>
    <w:rsid w:val="00E246F5"/>
    <w:rsid w:val="00E449D1"/>
    <w:rsid w:val="00F1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dalia</cp:lastModifiedBy>
  <cp:revision>16</cp:revision>
  <cp:lastPrinted>2018-05-07T19:56:00Z</cp:lastPrinted>
  <dcterms:created xsi:type="dcterms:W3CDTF">2016-04-26T16:48:00Z</dcterms:created>
  <dcterms:modified xsi:type="dcterms:W3CDTF">2020-02-23T08:40:00Z</dcterms:modified>
</cp:coreProperties>
</file>