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3381"/>
      </w:tblGrid>
      <w:tr w:rsidR="00F95E97" w:rsidTr="00F42C21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3381" w:type="dxa"/>
          </w:tcPr>
          <w:p w:rsidR="00F95E97" w:rsidRDefault="00F42C21" w:rsidP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الادارة والاقتصاد</w:t>
            </w:r>
          </w:p>
        </w:tc>
      </w:tr>
      <w:tr w:rsidR="00F95E97" w:rsidTr="00F42C21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3381" w:type="dxa"/>
          </w:tcPr>
          <w:p w:rsidR="00F95E97" w:rsidRDefault="00DB00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القسم العلمي</w:t>
            </w:r>
            <w:r w:rsidR="00F42C21">
              <w:rPr>
                <w:rFonts w:hint="cs"/>
                <w:color w:val="000000" w:themeColor="text1"/>
                <w:rtl/>
              </w:rPr>
              <w:t>/ قسم الاقتصاد</w:t>
            </w:r>
          </w:p>
        </w:tc>
      </w:tr>
      <w:tr w:rsidR="00F95E97" w:rsidTr="00F42C21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3381" w:type="dxa"/>
          </w:tcPr>
          <w:p w:rsidR="00F95E97" w:rsidRDefault="00312F8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السياسات الصناعية</w:t>
            </w:r>
          </w:p>
        </w:tc>
      </w:tr>
      <w:tr w:rsidR="007C1835" w:rsidTr="00F42C21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3381" w:type="dxa"/>
          </w:tcPr>
          <w:p w:rsidR="007C1835" w:rsidRDefault="00D36ED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القطاع الصناعي</w:t>
            </w:r>
            <w:r w:rsidR="00312F8B">
              <w:rPr>
                <w:rFonts w:hint="cs"/>
                <w:color w:val="000000" w:themeColor="text1"/>
                <w:rtl/>
              </w:rPr>
              <w:t xml:space="preserve"> </w:t>
            </w:r>
            <w:r w:rsidR="00312F8B">
              <w:rPr>
                <w:color w:val="000000" w:themeColor="text1"/>
                <w:rtl/>
              </w:rPr>
              <w:t>–</w:t>
            </w:r>
            <w:r w:rsidR="00312F8B">
              <w:rPr>
                <w:rFonts w:hint="cs"/>
                <w:color w:val="000000" w:themeColor="text1"/>
                <w:rtl/>
              </w:rPr>
              <w:t xml:space="preserve"> التجارة الخارجية</w:t>
            </w:r>
          </w:p>
        </w:tc>
      </w:tr>
      <w:tr w:rsidR="007C1835" w:rsidTr="00F42C21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3381" w:type="dxa"/>
          </w:tcPr>
          <w:p w:rsidR="007C1835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الكتروني</w:t>
            </w:r>
            <w:r w:rsidR="00D36ED1">
              <w:rPr>
                <w:rFonts w:hint="cs"/>
                <w:color w:val="000000" w:themeColor="text1"/>
                <w:rtl/>
              </w:rPr>
              <w:t>/ محاضرات فديوية</w:t>
            </w:r>
          </w:p>
        </w:tc>
      </w:tr>
      <w:tr w:rsidR="007C1835" w:rsidTr="00F42C21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3381" w:type="dxa"/>
          </w:tcPr>
          <w:p w:rsidR="007C1835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الاول</w:t>
            </w:r>
            <w:r w:rsidR="00D36ED1">
              <w:rPr>
                <w:rFonts w:hint="cs"/>
                <w:color w:val="000000" w:themeColor="text1"/>
                <w:rtl/>
              </w:rPr>
              <w:t xml:space="preserve"> 2020/2021</w:t>
            </w:r>
          </w:p>
        </w:tc>
      </w:tr>
      <w:tr w:rsidR="007C1835" w:rsidTr="00F42C21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3381" w:type="dxa"/>
          </w:tcPr>
          <w:p w:rsidR="007C1835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ساعتين اسبوعيا</w:t>
            </w:r>
          </w:p>
        </w:tc>
      </w:tr>
      <w:tr w:rsidR="00AE1A47" w:rsidTr="00F42C21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3381" w:type="dxa"/>
          </w:tcPr>
          <w:p w:rsidR="00AE1A47" w:rsidRDefault="00F42C2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6 / 1 / 2021</w:t>
            </w:r>
          </w:p>
        </w:tc>
      </w:tr>
      <w:tr w:rsidR="009679D4" w:rsidTr="00F42C21">
        <w:tc>
          <w:tcPr>
            <w:tcW w:w="6146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F42C21" w:rsidP="00312F8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اعطاء الطالب معلومات اكاديمية لمفهوم </w:t>
            </w:r>
            <w:r w:rsidR="00312F8B">
              <w:rPr>
                <w:rFonts w:hint="cs"/>
                <w:color w:val="000000" w:themeColor="text1"/>
                <w:rtl/>
              </w:rPr>
              <w:t xml:space="preserve">السياسات الصناعية والاستراتيجيات التي تتبعها الدولة والمنشآت الصناعية </w:t>
            </w:r>
            <w:r>
              <w:rPr>
                <w:rFonts w:hint="cs"/>
                <w:color w:val="000000" w:themeColor="text1"/>
                <w:rtl/>
              </w:rPr>
              <w:t xml:space="preserve"> من خلال المنهج العلمي لقسم الاقتصاد ولفصل دراسي واحد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312F8B" w:rsidP="00312F8B">
            <w:pPr>
              <w:rPr>
                <w:color w:val="000000" w:themeColor="text1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اعطاء صورة لواقع السياسات والاستراتيجيات والخطط الصناعية </w:t>
            </w:r>
            <w:r>
              <w:rPr>
                <w:rFonts w:hint="cs"/>
                <w:color w:val="000000" w:themeColor="text1"/>
                <w:rtl/>
              </w:rPr>
              <w:t xml:space="preserve"> للقطاع الصناعي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312F8B" w:rsidP="00D36ED1">
            <w:pPr>
              <w:tabs>
                <w:tab w:val="left" w:pos="84"/>
              </w:tabs>
              <w:jc w:val="both"/>
              <w:rPr>
                <w:color w:val="000000" w:themeColor="text1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ابراز دور السياسات الصناعية في تحقيق الاهداف العامة للقطاع الصناعي واهداف المشاريع الصناعية</w:t>
            </w: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F42C21">
        <w:tc>
          <w:tcPr>
            <w:tcW w:w="6146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F42C21">
        <w:tc>
          <w:tcPr>
            <w:tcW w:w="6146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42C21">
              <w:rPr>
                <w:rFonts w:hint="cs"/>
                <w:color w:val="000000" w:themeColor="text1"/>
                <w:rtl/>
              </w:rPr>
              <w:t xml:space="preserve">  تقسيم المنهج الى اطار نظري وعملي وفق المنهج العلمي للقسم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F42C21">
              <w:rPr>
                <w:rFonts w:hint="cs"/>
                <w:color w:val="000000" w:themeColor="text1"/>
                <w:rtl/>
              </w:rPr>
              <w:t xml:space="preserve"> اغناء الطالب بالمعلومات الخاصة بمادة الاقتصاد الصناعي</w:t>
            </w:r>
          </w:p>
          <w:p w:rsidR="009E0D37" w:rsidRDefault="009E0D37" w:rsidP="00312F8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D36ED1">
              <w:rPr>
                <w:rFonts w:hint="cs"/>
                <w:color w:val="000000" w:themeColor="text1"/>
                <w:rtl/>
              </w:rPr>
              <w:t xml:space="preserve"> دراسة </w:t>
            </w:r>
            <w:r w:rsidR="00312F8B">
              <w:rPr>
                <w:rFonts w:hint="cs"/>
                <w:color w:val="000000" w:themeColor="text1"/>
                <w:rtl/>
              </w:rPr>
              <w:t>الاستراتيجيات والسياسات والخطط الصناعية على مستوى القطاع وعلى مستوى المشروع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</w:p>
        </w:tc>
      </w:tr>
      <w:tr w:rsidR="00AF31D9" w:rsidTr="00F42C21">
        <w:tc>
          <w:tcPr>
            <w:tcW w:w="6146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F42C21">
              <w:rPr>
                <w:rFonts w:hint="cs"/>
                <w:color w:val="000000" w:themeColor="text1"/>
                <w:rtl/>
              </w:rPr>
              <w:t xml:space="preserve">  استعمال </w:t>
            </w:r>
            <w:r w:rsidR="00930927">
              <w:rPr>
                <w:rFonts w:hint="cs"/>
                <w:color w:val="000000" w:themeColor="text1"/>
                <w:rtl/>
              </w:rPr>
              <w:t>المفردات العلمية المتعلقة بالمادة العلمية ومن خلال البرنامج الالكتروني</w:t>
            </w:r>
            <w:r w:rsidR="00B13A9D">
              <w:rPr>
                <w:rFonts w:hint="cs"/>
                <w:color w:val="000000" w:themeColor="text1"/>
                <w:rtl/>
              </w:rPr>
              <w:t xml:space="preserve"> </w:t>
            </w:r>
            <w:r w:rsidR="00930927">
              <w:rPr>
                <w:rFonts w:hint="cs"/>
                <w:color w:val="000000" w:themeColor="text1"/>
                <w:rtl/>
              </w:rPr>
              <w:t>وباستخدام كوكل كلاسروم وكوكل مييت.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</w:p>
        </w:tc>
      </w:tr>
      <w:tr w:rsidR="00AF31D9" w:rsidTr="00F42C21">
        <w:tc>
          <w:tcPr>
            <w:tcW w:w="6146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يتم القاء محاضرات من خلال البرنامج الالكتروني وبرنامج المييت</w:t>
            </w:r>
          </w:p>
          <w:p w:rsidR="007B1AA7" w:rsidRPr="00CF3DC0" w:rsidRDefault="00B13A9D" w:rsidP="00CF3DC0">
            <w:pPr>
              <w:spacing w:after="160" w:line="259" w:lineRule="auto"/>
              <w:jc w:val="both"/>
              <w:rPr>
                <w:rFonts w:ascii="Simplified Arabic" w:eastAsia="Times New Roman" w:hAnsi="Simplified Arabic" w:cs="Simplified Arabic"/>
                <w:color w:val="000000"/>
                <w:rtl/>
                <w:lang w:bidi="ar-IQ"/>
              </w:rPr>
            </w:pPr>
            <w:r w:rsidRPr="00B13A9D">
              <w:rPr>
                <w:rFonts w:ascii="Simplified Arabic" w:eastAsia="Times New Roman" w:hAnsi="Simplified Arabic" w:cs="Simplified Arabic"/>
                <w:color w:val="000000"/>
                <w:rtl/>
                <w:lang w:bidi="ar-IQ"/>
              </w:rPr>
              <w:t>يتم احيانا استخدام طرق رياضية لمعالجة مشكلة اقتصادية معينة.</w:t>
            </w:r>
          </w:p>
        </w:tc>
      </w:tr>
      <w:tr w:rsidR="00FC14CB" w:rsidTr="00F42C21">
        <w:tc>
          <w:tcPr>
            <w:tcW w:w="6146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يتم التقييم من خلال اعداد الامتحان 20 درجة واحتساب المشاركات اليومية للطلبة  10 درجات واجراء امتحان شفهي 10 درجات.</w:t>
            </w:r>
          </w:p>
          <w:p w:rsidR="00757F2F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المجموع 40 درجة سعي و60 درجة امتحان نهاية الفصل الدراسي</w:t>
            </w:r>
          </w:p>
          <w:p w:rsidR="00B13A9D" w:rsidRPr="00B13A9D" w:rsidRDefault="00B13A9D" w:rsidP="00B13A9D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  <w:lang w:bidi="ar-IQ"/>
              </w:rPr>
            </w:pP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1-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 xml:space="preserve">مشاركة الطالب في تحضير المادة </w:t>
            </w: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وشرحها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>.</w:t>
            </w:r>
          </w:p>
          <w:p w:rsidR="00B13A9D" w:rsidRPr="00B13A9D" w:rsidRDefault="00B13A9D" w:rsidP="00B13A9D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  <w:lang w:bidi="ar-IQ"/>
              </w:rPr>
            </w:pP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 xml:space="preserve">2- 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 xml:space="preserve">اجراء مناقشات لاسئلة خارجية تتعلق بالمادة من الواقع كمحاولة لربط الجانب النظري للمادة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بالواقع الخارجي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>.</w:t>
            </w:r>
          </w:p>
          <w:p w:rsidR="00FC14CB" w:rsidRDefault="00B13A9D" w:rsidP="00CF3DC0">
            <w:pPr>
              <w:rPr>
                <w:color w:val="000000" w:themeColor="text1"/>
                <w:rtl/>
              </w:rPr>
            </w:pP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 xml:space="preserve">3-تكليف الطلبة </w:t>
            </w:r>
            <w:r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ب</w:t>
            </w:r>
            <w:r w:rsidRPr="00B13A9D">
              <w:rPr>
                <w:rFonts w:ascii="Calibri" w:eastAsia="Times New Roman" w:hAnsi="Calibri" w:cs="Arial" w:hint="cs"/>
                <w:color w:val="000000"/>
                <w:rtl/>
                <w:lang w:bidi="ar-IQ"/>
              </w:rPr>
              <w:t>الواجبات للتقييم.</w:t>
            </w:r>
            <w:r w:rsidRPr="00B13A9D">
              <w:rPr>
                <w:rFonts w:ascii="Calibri" w:eastAsia="Times New Roman" w:hAnsi="Calibri" w:cs="Arial"/>
                <w:color w:val="000000"/>
                <w:rtl/>
                <w:lang w:bidi="ar-IQ"/>
              </w:rPr>
              <w:tab/>
            </w: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F42C21">
        <w:tc>
          <w:tcPr>
            <w:tcW w:w="6146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B13A9D" w:rsidRPr="00B13A9D" w:rsidRDefault="00B86FAF" w:rsidP="00B13A9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color w:val="000000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أ-</w:t>
            </w:r>
            <w:r w:rsidR="00757F2F">
              <w:rPr>
                <w:rFonts w:hint="cs"/>
                <w:color w:val="000000" w:themeColor="text1"/>
                <w:rtl/>
              </w:rPr>
              <w:t xml:space="preserve">  توجيه اسئلة للطلبة اثناء المحاضرة للمادة والمرتبطة بالمواد الدراسية المشتركة من المواد العلمية الاخرى</w:t>
            </w:r>
            <w:r w:rsidR="00B13A9D">
              <w:rPr>
                <w:rFonts w:hint="cs"/>
                <w:color w:val="000000" w:themeColor="text1"/>
                <w:rtl/>
              </w:rPr>
              <w:t xml:space="preserve"> وكذلك </w:t>
            </w:r>
            <w:r w:rsidR="00B13A9D" w:rsidRPr="00B13A9D">
              <w:rPr>
                <w:rFonts w:ascii="Calibri" w:eastAsia="Calibri" w:hAnsi="Calibri" w:cs="Arial"/>
                <w:color w:val="000000"/>
                <w:rtl/>
                <w:lang w:bidi="ar-IQ"/>
              </w:rPr>
              <w:t>ربط الجانب النظري للمادة بالواقع ليتسنى</w:t>
            </w:r>
            <w:r w:rsidR="00B13A9D" w:rsidRPr="00B13A9D">
              <w:rPr>
                <w:rFonts w:ascii="Calibri" w:eastAsia="Calibri" w:hAnsi="Calibri" w:cs="Arial" w:hint="cs"/>
                <w:color w:val="000000"/>
                <w:rtl/>
                <w:lang w:bidi="ar-IQ"/>
              </w:rPr>
              <w:t xml:space="preserve"> للطالب</w:t>
            </w:r>
            <w:r w:rsidR="00B13A9D" w:rsidRPr="00B13A9D">
              <w:rPr>
                <w:rFonts w:ascii="Calibri" w:eastAsia="Calibri" w:hAnsi="Calibri" w:cs="Arial"/>
                <w:color w:val="000000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1947D2" w:rsidRDefault="001947D2">
            <w:pPr>
              <w:rPr>
                <w:color w:val="000000" w:themeColor="text1"/>
                <w:rtl/>
                <w:lang w:bidi="ar-IQ"/>
              </w:rPr>
            </w:pP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F42C21">
        <w:tc>
          <w:tcPr>
            <w:tcW w:w="6146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F42C21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3381" w:type="dxa"/>
          </w:tcPr>
          <w:p w:rsidR="00BB5D43" w:rsidRPr="00BB5D43" w:rsidRDefault="00BB5D43" w:rsidP="00BB5D43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</w:rPr>
            </w:pPr>
            <w:r w:rsidRPr="00BB5D43">
              <w:rPr>
                <w:rFonts w:ascii="Calibri" w:eastAsia="Times New Roman" w:hAnsi="Calibri" w:cs="Arial" w:hint="cs"/>
                <w:color w:val="000000"/>
                <w:rtl/>
              </w:rPr>
              <w:t>النظرية الاقتصادية الجزئية والنظرية الاقتصادية الكلية اضافة الى المادة الاساسية (الاقتصاد الصناعي)</w:t>
            </w:r>
          </w:p>
          <w:p w:rsidR="00BB5D43" w:rsidRPr="00BB5D43" w:rsidRDefault="00BB5D43" w:rsidP="00BB5D43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</w:rPr>
            </w:pPr>
            <w:r w:rsidRPr="00BB5D43">
              <w:rPr>
                <w:rFonts w:ascii="Calibri" w:eastAsia="Times New Roman" w:hAnsi="Calibri" w:cs="Arial" w:hint="cs"/>
                <w:color w:val="000000"/>
                <w:rtl/>
              </w:rPr>
              <w:t>يتم الاعتماد على المصادر التالية:</w:t>
            </w:r>
          </w:p>
          <w:p w:rsidR="00BB5D43" w:rsidRPr="00BB5D43" w:rsidRDefault="00BB5D43" w:rsidP="00BB5D43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</w:rPr>
            </w:pPr>
            <w:r w:rsidRPr="00BB5D43">
              <w:rPr>
                <w:rFonts w:ascii="Calibri" w:eastAsia="Times New Roman" w:hAnsi="Calibri" w:cs="Arial" w:hint="cs"/>
                <w:color w:val="000000"/>
                <w:rtl/>
              </w:rPr>
              <w:t>الكتاب المساعد (اساسيات الاقتصاد الصناعي والسياسات الصناعية: تاليف الاستاذ المساعد سالم عبد الحسين سالم والدكتور مراد فالح مراد</w:t>
            </w:r>
          </w:p>
          <w:p w:rsidR="00BB5D43" w:rsidRPr="00BB5D43" w:rsidRDefault="00BB5D43" w:rsidP="00BB5D43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</w:rPr>
            </w:pPr>
            <w:r w:rsidRPr="00BB5D43">
              <w:rPr>
                <w:rFonts w:ascii="Calibri" w:eastAsia="Times New Roman" w:hAnsi="Calibri" w:cs="Arial" w:hint="cs"/>
                <w:color w:val="000000"/>
                <w:rtl/>
              </w:rPr>
              <w:t>كتاب الاقتصاد الصناعي للدكتور حميد الجميلي واخرون</w:t>
            </w:r>
          </w:p>
          <w:p w:rsidR="00BB5D43" w:rsidRPr="00BB5D43" w:rsidRDefault="00BB5D43" w:rsidP="00BB5D43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  <w:lang w:bidi="ar-IQ"/>
              </w:rPr>
            </w:pPr>
            <w:r w:rsidRPr="00BB5D43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اقتصاديات الصناعة والتنمية الصناعية – د. صائب ابراهيم جواد</w:t>
            </w:r>
          </w:p>
          <w:p w:rsidR="00BB5D43" w:rsidRPr="00BB5D43" w:rsidRDefault="00BB5D43" w:rsidP="00BB5D43">
            <w:pPr>
              <w:spacing w:after="160" w:line="259" w:lineRule="auto"/>
              <w:rPr>
                <w:rFonts w:ascii="Calibri" w:eastAsia="Times New Roman" w:hAnsi="Calibri" w:cs="Arial"/>
                <w:color w:val="000000"/>
                <w:rtl/>
              </w:rPr>
            </w:pPr>
            <w:r w:rsidRPr="00BB5D43">
              <w:rPr>
                <w:rFonts w:ascii="Calibri" w:eastAsia="Times New Roman" w:hAnsi="Calibri" w:cs="Arial" w:hint="cs"/>
                <w:color w:val="000000"/>
                <w:rtl/>
              </w:rPr>
              <w:t xml:space="preserve">كتاب </w:t>
            </w:r>
            <w:r w:rsidRPr="00BB5D43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اقتصاديات الصناعة</w:t>
            </w:r>
            <w:r w:rsidRPr="00BB5D43">
              <w:rPr>
                <w:rFonts w:ascii="Calibri" w:eastAsia="Times New Roman" w:hAnsi="Calibri" w:cs="Arial" w:hint="cs"/>
                <w:color w:val="000000"/>
                <w:rtl/>
              </w:rPr>
              <w:t xml:space="preserve"> – روجر كلارك</w:t>
            </w:r>
          </w:p>
          <w:p w:rsidR="00BB5D43" w:rsidRPr="00BB5D43" w:rsidRDefault="00BB5D43" w:rsidP="00BB5D43">
            <w:pPr>
              <w:spacing w:after="160" w:line="259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B5D43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الاقتصاد</w:t>
            </w:r>
            <w:r w:rsidRPr="00BB5D43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B5D43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الجزئي</w:t>
            </w:r>
            <w:r w:rsidRPr="00BB5D43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– </w:t>
            </w:r>
            <w:r w:rsidRPr="00BB5D43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المفاهيم</w:t>
            </w:r>
            <w:r w:rsidRPr="00BB5D43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B5D43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والتطبيقات</w:t>
            </w:r>
            <w:r w:rsidRPr="00BB5D43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BB5D43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جي هولتن ولسون</w:t>
            </w:r>
          </w:p>
          <w:p w:rsidR="00B13A9D" w:rsidRDefault="00BB5D43" w:rsidP="00BB5D43">
            <w:pPr>
              <w:rPr>
                <w:color w:val="000000" w:themeColor="text1"/>
                <w:rtl/>
              </w:rPr>
            </w:pPr>
            <w:r w:rsidRPr="00BB5D43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الاقتصاد الصناعي</w:t>
            </w:r>
            <w:r w:rsidRPr="00BB5D43">
              <w:rPr>
                <w:rFonts w:ascii="Calibri" w:eastAsia="Times New Roman" w:hAnsi="Calibri" w:cs="Arial" w:hint="cs"/>
                <w:color w:val="000000"/>
                <w:rtl/>
              </w:rPr>
              <w:t xml:space="preserve"> – د. محت القريشي</w:t>
            </w:r>
          </w:p>
        </w:tc>
      </w:tr>
      <w:tr w:rsidR="00875015" w:rsidTr="00F42C21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3381" w:type="dxa"/>
          </w:tcPr>
          <w:p w:rsidR="00875015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/</w:t>
            </w:r>
          </w:p>
        </w:tc>
      </w:tr>
      <w:tr w:rsidR="00875015" w:rsidTr="00F42C21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3381" w:type="dxa"/>
          </w:tcPr>
          <w:p w:rsidR="00875015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/</w:t>
            </w:r>
          </w:p>
        </w:tc>
      </w:tr>
      <w:tr w:rsidR="00030737" w:rsidTr="00F42C21">
        <w:tc>
          <w:tcPr>
            <w:tcW w:w="6146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النظرية الاقتصادية الجزئية والنظرية الاقتصادية الكلية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135</w:t>
            </w:r>
          </w:p>
        </w:tc>
      </w:tr>
      <w:tr w:rsidR="00CC78A1" w:rsidTr="00F42C21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3381" w:type="dxa"/>
          </w:tcPr>
          <w:p w:rsidR="00CC78A1" w:rsidRDefault="00757F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178</w:t>
            </w:r>
          </w:p>
        </w:tc>
      </w:tr>
    </w:tbl>
    <w:p w:rsidR="00466801" w:rsidRDefault="00466801">
      <w:pPr>
        <w:rPr>
          <w:rFonts w:hint="cs"/>
          <w:i/>
          <w:iCs/>
          <w:color w:val="000000" w:themeColor="text1"/>
          <w:rtl/>
        </w:rPr>
      </w:pPr>
    </w:p>
    <w:p w:rsidR="00CF3DC0" w:rsidRPr="00531EC7" w:rsidRDefault="00CF3DC0">
      <w:pPr>
        <w:rPr>
          <w:i/>
          <w:iCs/>
          <w:color w:val="000000" w:themeColor="text1"/>
          <w:rtl/>
        </w:rPr>
      </w:pPr>
      <w:bookmarkStart w:id="0" w:name="_GoBack"/>
      <w:bookmarkEnd w:id="0"/>
    </w:p>
    <w:p w:rsidR="001277EA" w:rsidRDefault="001277EA">
      <w:pPr>
        <w:rPr>
          <w:color w:val="000000" w:themeColor="text1"/>
          <w:rtl/>
        </w:rPr>
      </w:pPr>
    </w:p>
    <w:p w:rsidR="006E56B3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lastRenderedPageBreak/>
        <w:t>هيكلية المادة الدراسية</w:t>
      </w:r>
    </w:p>
    <w:tbl>
      <w:tblPr>
        <w:bidiVisual/>
        <w:tblW w:w="986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95"/>
        <w:gridCol w:w="796"/>
        <w:gridCol w:w="284"/>
      </w:tblGrid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الاول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:rsidR="00BB5D43" w:rsidRPr="00384B08" w:rsidRDefault="00BB5D43" w:rsidP="006D39B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الاستراتيجية الصناعية/ الاستراتيجية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السياسة الصناعية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الخطة الصناعية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CC0428" w:rsidRDefault="00BB5D43" w:rsidP="006D39B8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استراتيجية المنشأة الصناعية/ استراتيجية التركز الصناعي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BB6AFF" w:rsidRDefault="00BB5D43" w:rsidP="006D39B8">
            <w:pPr>
              <w:rPr>
                <w:b/>
                <w:bCs/>
                <w:rtl/>
                <w:lang w:bidi="ar-IQ"/>
              </w:rPr>
            </w:pPr>
            <w:r w:rsidRPr="00BB6AFF">
              <w:rPr>
                <w:rFonts w:hint="cs"/>
                <w:b/>
                <w:bCs/>
                <w:rtl/>
                <w:lang w:bidi="ar-IQ"/>
              </w:rPr>
              <w:t xml:space="preserve">مقاييس التركز الصناعي 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CC0428" w:rsidRDefault="00BB5D43" w:rsidP="006D39B8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استراتيجية الاتحاد والاندماج / استراتيجية اعاقة الدخول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CC0428" w:rsidRDefault="00BB5D43" w:rsidP="006D39B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االتحليل الاستراتيجي للمؤسسات الصناعية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CC0428" w:rsidRDefault="00BB5D43" w:rsidP="006D39B8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السياسات الصناعية على مستوى المنشأة الصناعية / العوامل المؤثرة في قرارات التسعير والسياسة السعرية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CC0428" w:rsidRDefault="00BB5D43" w:rsidP="006D39B8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التخطيط الصناعي على مستوى المنشأة الصناعية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CC0428" w:rsidRDefault="00BB5D43" w:rsidP="006D39B8">
            <w:pPr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الاستراتيجيات والسياسات الصناعية على مستوى الاقتصاد الوطني / استراتيجية التصنيع الخفيف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التاسع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DD5215" w:rsidRDefault="00BB5D43" w:rsidP="006D39B8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D5215">
              <w:rPr>
                <w:rFonts w:asciiTheme="minorBidi" w:hAnsiTheme="minorBidi"/>
                <w:b/>
                <w:bCs/>
                <w:rtl/>
                <w:lang w:bidi="ar-IQ"/>
              </w:rPr>
              <w:t>استراتيجية التصنيع الثقيل</w:t>
            </w: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 / استراتيجية التصنيع المتوازن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العاشر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CC0428" w:rsidRDefault="00BB5D43" w:rsidP="006D39B8">
            <w:pPr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الاستراتيجيات التتي تم تطبيقها في الدول النامية / اسراتيجية احلال الواردات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الحادي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CC0428" w:rsidRDefault="00BB5D43" w:rsidP="006D39B8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استراتيجية التصنيع من اجل التصدير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6B78C6" w:rsidRDefault="00BB5D43" w:rsidP="006D39B8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السياسات الصناعية القطاعية / ادوات السياسة الصناعية / طبيعة السياسة الصناعية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545E13" w:rsidRDefault="00BB5D43" w:rsidP="006D39B8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السياسة الصناعية للدول المتقدمة صناعيا وآثارها الاقتصادية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الرابع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6B78C6" w:rsidRDefault="00BB5D43" w:rsidP="006D39B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السياسات الصناعية في ظل العولمة الاقتصادية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B5D43" w:rsidRPr="00565E9D" w:rsidTr="00565E9D">
        <w:trPr>
          <w:trHeight w:hRule="exact" w:val="576"/>
        </w:trPr>
        <w:tc>
          <w:tcPr>
            <w:tcW w:w="2693" w:type="dxa"/>
            <w:shd w:val="clear" w:color="auto" w:fill="E7E6E6" w:themeFill="background2"/>
            <w:vAlign w:val="center"/>
          </w:tcPr>
          <w:p w:rsidR="00BB5D43" w:rsidRPr="005862E3" w:rsidRDefault="00BB5D43" w:rsidP="006D39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الخامس عشر</w:t>
            </w:r>
          </w:p>
        </w:tc>
        <w:tc>
          <w:tcPr>
            <w:tcW w:w="6095" w:type="dxa"/>
            <w:tcBorders>
              <w:right w:val="nil"/>
            </w:tcBorders>
          </w:tcPr>
          <w:p w:rsidR="00BB5D43" w:rsidRPr="00BB6AFF" w:rsidRDefault="00BB5D43" w:rsidP="006D39B8">
            <w:pPr>
              <w:spacing w:line="300" w:lineRule="exact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BB6AFF">
              <w:rPr>
                <w:rFonts w:asciiTheme="minorBidi" w:hAnsiTheme="minorBidi" w:hint="cs"/>
                <w:b/>
                <w:bCs/>
                <w:rtl/>
                <w:lang w:bidi="ar-IQ"/>
              </w:rPr>
              <w:t>الرؤيا الاستراتيجية للتنمية الصناعية في العراق</w:t>
            </w: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B5D43" w:rsidRPr="00565E9D" w:rsidRDefault="00BB5D43" w:rsidP="0056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65E9D" w:rsidRPr="00565E9D" w:rsidRDefault="00565E9D" w:rsidP="002B6E3E">
      <w:pPr>
        <w:jc w:val="center"/>
        <w:rPr>
          <w:color w:val="000000" w:themeColor="text1"/>
          <w:u w:val="single"/>
          <w:rtl/>
        </w:rPr>
      </w:pPr>
    </w:p>
    <w:p w:rsidR="006E56B3" w:rsidRPr="00EE04B4" w:rsidRDefault="006E56B3" w:rsidP="00565E9D">
      <w:pPr>
        <w:rPr>
          <w:color w:val="000000" w:themeColor="text1"/>
        </w:rPr>
      </w:pPr>
    </w:p>
    <w:sectPr w:rsidR="006E56B3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A52"/>
    <w:multiLevelType w:val="hybridMultilevel"/>
    <w:tmpl w:val="405EE538"/>
    <w:lvl w:ilvl="0" w:tplc="221ABF66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2F8B"/>
    <w:rsid w:val="00313057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65E9D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57F2F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930927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E1A47"/>
    <w:rsid w:val="00AF31D9"/>
    <w:rsid w:val="00B13A9D"/>
    <w:rsid w:val="00B332F8"/>
    <w:rsid w:val="00B86FAF"/>
    <w:rsid w:val="00BB5D43"/>
    <w:rsid w:val="00C238DD"/>
    <w:rsid w:val="00C95C3C"/>
    <w:rsid w:val="00CC3A76"/>
    <w:rsid w:val="00CC78A1"/>
    <w:rsid w:val="00CF26D1"/>
    <w:rsid w:val="00CF3DC0"/>
    <w:rsid w:val="00D36ED1"/>
    <w:rsid w:val="00DB007A"/>
    <w:rsid w:val="00DB7314"/>
    <w:rsid w:val="00DC7075"/>
    <w:rsid w:val="00EB5602"/>
    <w:rsid w:val="00ED5E45"/>
    <w:rsid w:val="00EE04B4"/>
    <w:rsid w:val="00F42C21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ALNIBRAS</cp:lastModifiedBy>
  <cp:revision>62</cp:revision>
  <dcterms:created xsi:type="dcterms:W3CDTF">2021-01-05T05:28:00Z</dcterms:created>
  <dcterms:modified xsi:type="dcterms:W3CDTF">2021-01-08T09:10:00Z</dcterms:modified>
</cp:coreProperties>
</file>