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E6" w:rsidRDefault="003E64E6" w:rsidP="007754D7">
      <w:pPr>
        <w:jc w:val="center"/>
        <w:rPr>
          <w:rtl/>
        </w:rPr>
      </w:pPr>
      <w:r>
        <w:rPr>
          <w:rFonts w:hint="cs"/>
          <w:rtl/>
        </w:rPr>
        <w:t>نموذج وصف المقرر</w:t>
      </w:r>
    </w:p>
    <w:p w:rsidR="00EB5602" w:rsidRDefault="00EE04B4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مراجعة اداء مؤسسات التعليم العالي </w:t>
      </w:r>
      <w:r w:rsidR="00C95C3C">
        <w:rPr>
          <w:rFonts w:hint="cs"/>
          <w:color w:val="000000" w:themeColor="text1"/>
          <w:rtl/>
        </w:rPr>
        <w:t>((مراجعة البرنامج الاكاديمي))</w:t>
      </w:r>
    </w:p>
    <w:p w:rsidR="00C95C3C" w:rsidRDefault="000652C0" w:rsidP="007754D7">
      <w:pPr>
        <w:jc w:val="center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وصف المقرر</w:t>
      </w:r>
    </w:p>
    <w:p w:rsidR="000652C0" w:rsidRDefault="000652C0">
      <w:pPr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 xml:space="preserve">يوفر وصف المقرر هذا ايجازا </w:t>
      </w:r>
      <w:r w:rsidR="00DB7314">
        <w:rPr>
          <w:rFonts w:hint="cs"/>
          <w:color w:val="000000" w:themeColor="text1"/>
          <w:rtl/>
        </w:rPr>
        <w:t xml:space="preserve">مقتضيا لاهم خصائص المقرر ومخرجات التعلم المتوقعة </w:t>
      </w:r>
      <w:r w:rsidR="00DC7075">
        <w:rPr>
          <w:rFonts w:hint="cs"/>
          <w:color w:val="000000" w:themeColor="text1"/>
          <w:rtl/>
        </w:rPr>
        <w:t xml:space="preserve">من الطالب تحقيقها مبرهنا عما </w:t>
      </w:r>
      <w:r w:rsidR="006E58FF">
        <w:rPr>
          <w:rFonts w:hint="cs"/>
          <w:color w:val="000000" w:themeColor="text1"/>
          <w:rtl/>
        </w:rPr>
        <w:t xml:space="preserve">اذا كان قد حقق الاستفادة القصوى </w:t>
      </w:r>
      <w:r w:rsidR="00466801">
        <w:rPr>
          <w:rFonts w:hint="cs"/>
          <w:color w:val="000000" w:themeColor="text1"/>
          <w:rtl/>
        </w:rPr>
        <w:t>من فرص التعلم المتاحة ولا بد من الربط بينها وبين وصف البرنامج</w:t>
      </w:r>
    </w:p>
    <w:tbl>
      <w:tblPr>
        <w:tblStyle w:val="a3"/>
        <w:bidiVisual/>
        <w:tblW w:w="8556" w:type="dxa"/>
        <w:tblLook w:val="04A0" w:firstRow="1" w:lastRow="0" w:firstColumn="1" w:lastColumn="0" w:noHBand="0" w:noVBand="1"/>
      </w:tblPr>
      <w:tblGrid>
        <w:gridCol w:w="2765"/>
        <w:gridCol w:w="5791"/>
      </w:tblGrid>
      <w:tr w:rsidR="00F95E97" w:rsidTr="003F4CD5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١-المؤسسة التعليمية</w:t>
            </w:r>
          </w:p>
        </w:tc>
        <w:tc>
          <w:tcPr>
            <w:tcW w:w="5791" w:type="dxa"/>
          </w:tcPr>
          <w:p w:rsidR="00F95E97" w:rsidRPr="00892E09" w:rsidRDefault="003F4CD5">
            <w:pPr>
              <w:rPr>
                <w:color w:val="000000" w:themeColor="text1"/>
                <w:rtl/>
                <w:lang w:bidi="ar-IQ"/>
              </w:rPr>
            </w:pPr>
            <w:r w:rsidRPr="00892E09">
              <w:rPr>
                <w:rFonts w:ascii="Cambria" w:hAnsi="Cambria" w:cs="Times New Roman" w:hint="cs"/>
                <w:rtl/>
                <w:lang w:bidi="ar-IQ"/>
              </w:rPr>
              <w:t>وزارة التعليم العالي والبحث العلمي/ جامعة بغداد/ كلية الادارة والاقتصاد</w:t>
            </w:r>
          </w:p>
        </w:tc>
      </w:tr>
      <w:tr w:rsidR="00F95E97" w:rsidTr="003F4CD5">
        <w:tc>
          <w:tcPr>
            <w:tcW w:w="2765" w:type="dxa"/>
          </w:tcPr>
          <w:p w:rsidR="00F95E97" w:rsidRDefault="00F95E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٢-القسم الجامعي/المركز</w:t>
            </w:r>
          </w:p>
        </w:tc>
        <w:tc>
          <w:tcPr>
            <w:tcW w:w="5791" w:type="dxa"/>
          </w:tcPr>
          <w:p w:rsidR="00F95E97" w:rsidRPr="00892E09" w:rsidRDefault="00DB007A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القسم العلمي</w:t>
            </w:r>
            <w:r w:rsidR="003F4CD5" w:rsidRPr="00892E09">
              <w:rPr>
                <w:rFonts w:hint="cs"/>
                <w:color w:val="000000" w:themeColor="text1"/>
                <w:rtl/>
              </w:rPr>
              <w:t xml:space="preserve"> / الاقتصاد</w:t>
            </w:r>
          </w:p>
        </w:tc>
      </w:tr>
      <w:tr w:rsidR="00F95E97" w:rsidTr="003F4CD5">
        <w:tc>
          <w:tcPr>
            <w:tcW w:w="2765" w:type="dxa"/>
          </w:tcPr>
          <w:p w:rsidR="003E52D9" w:rsidRDefault="00DB007A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٣-أسم/</w:t>
            </w:r>
            <w:r w:rsidR="003E52D9">
              <w:rPr>
                <w:rFonts w:hint="cs"/>
                <w:color w:val="000000" w:themeColor="text1"/>
                <w:rtl/>
              </w:rPr>
              <w:t xml:space="preserve"> رمز المقر</w:t>
            </w:r>
            <w:r w:rsidR="005A0B26">
              <w:rPr>
                <w:rFonts w:hint="cs"/>
                <w:color w:val="000000" w:themeColor="text1"/>
                <w:rtl/>
              </w:rPr>
              <w:t>ر</w:t>
            </w:r>
          </w:p>
        </w:tc>
        <w:tc>
          <w:tcPr>
            <w:tcW w:w="5791" w:type="dxa"/>
          </w:tcPr>
          <w:p w:rsidR="00F95E97" w:rsidRPr="00B73197" w:rsidRDefault="00B73197">
            <w:pPr>
              <w:rPr>
                <w:color w:val="000000" w:themeColor="text1"/>
                <w:rtl/>
              </w:rPr>
            </w:pPr>
            <w:r w:rsidRPr="00B73197">
              <w:rPr>
                <w:rFonts w:hint="cs"/>
                <w:rtl/>
                <w:lang w:bidi="ar-IQ"/>
              </w:rPr>
              <w:t>السياسة نقدية</w:t>
            </w:r>
          </w:p>
        </w:tc>
      </w:tr>
      <w:tr w:rsidR="007C1835" w:rsidTr="003F4CD5">
        <w:tc>
          <w:tcPr>
            <w:tcW w:w="2765" w:type="dxa"/>
          </w:tcPr>
          <w:p w:rsidR="007C1835" w:rsidRDefault="007C183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٤-البرامج التي يدخل فيها</w:t>
            </w:r>
          </w:p>
        </w:tc>
        <w:tc>
          <w:tcPr>
            <w:tcW w:w="5791" w:type="dxa"/>
          </w:tcPr>
          <w:p w:rsidR="007C1835" w:rsidRPr="00892E09" w:rsidRDefault="00B7319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القطاع النقدي والمصرفي</w:t>
            </w:r>
          </w:p>
        </w:tc>
      </w:tr>
      <w:tr w:rsidR="003F4CD5" w:rsidTr="003F4CD5">
        <w:tc>
          <w:tcPr>
            <w:tcW w:w="2765" w:type="dxa"/>
          </w:tcPr>
          <w:p w:rsidR="003F4CD5" w:rsidRPr="004F19DE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٥-اشكال الحضور المتاحة</w:t>
            </w:r>
          </w:p>
        </w:tc>
        <w:tc>
          <w:tcPr>
            <w:tcW w:w="5791" w:type="dxa"/>
          </w:tcPr>
          <w:p w:rsidR="003F4CD5" w:rsidRPr="00892E09" w:rsidRDefault="003F4CD5" w:rsidP="00B73197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الحضور الالكتروني/ محاضرات فيديوية</w:t>
            </w:r>
            <w:r w:rsidR="00B73197">
              <w:rPr>
                <w:rFonts w:hint="cs"/>
                <w:color w:val="000000" w:themeColor="text1"/>
                <w:rtl/>
              </w:rPr>
              <w:t xml:space="preserve"> وصوتية </w:t>
            </w:r>
          </w:p>
        </w:tc>
      </w:tr>
      <w:tr w:rsidR="003F4CD5" w:rsidTr="003F4CD5">
        <w:tc>
          <w:tcPr>
            <w:tcW w:w="2765" w:type="dxa"/>
          </w:tcPr>
          <w:p w:rsidR="003F4CD5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٦-الفصل/ السنة</w:t>
            </w:r>
          </w:p>
        </w:tc>
        <w:tc>
          <w:tcPr>
            <w:tcW w:w="5791" w:type="dxa"/>
          </w:tcPr>
          <w:p w:rsidR="003F4CD5" w:rsidRPr="00892E09" w:rsidRDefault="003F4CD5" w:rsidP="00B73197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 xml:space="preserve">الفصل الدراسي </w:t>
            </w:r>
            <w:r w:rsidR="00B73197">
              <w:rPr>
                <w:rFonts w:hint="cs"/>
                <w:color w:val="000000" w:themeColor="text1"/>
                <w:rtl/>
              </w:rPr>
              <w:t>الثاني</w:t>
            </w:r>
            <w:r w:rsidRPr="00892E09">
              <w:rPr>
                <w:rFonts w:hint="cs"/>
                <w:color w:val="000000" w:themeColor="text1"/>
                <w:rtl/>
              </w:rPr>
              <w:t>2020/2021</w:t>
            </w:r>
          </w:p>
        </w:tc>
      </w:tr>
      <w:tr w:rsidR="003F4CD5" w:rsidTr="003F4CD5">
        <w:tc>
          <w:tcPr>
            <w:tcW w:w="2765" w:type="dxa"/>
          </w:tcPr>
          <w:p w:rsidR="003F4CD5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٧-عدد الساعات الدراسية الكلي</w:t>
            </w:r>
          </w:p>
        </w:tc>
        <w:tc>
          <w:tcPr>
            <w:tcW w:w="5791" w:type="dxa"/>
          </w:tcPr>
          <w:p w:rsidR="003F4CD5" w:rsidRPr="00892E09" w:rsidRDefault="003F4CD5" w:rsidP="00A04717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3 ساعة بالاسبوع</w:t>
            </w:r>
          </w:p>
        </w:tc>
      </w:tr>
      <w:tr w:rsidR="003F4CD5" w:rsidTr="003F4CD5">
        <w:tc>
          <w:tcPr>
            <w:tcW w:w="2765" w:type="dxa"/>
          </w:tcPr>
          <w:p w:rsidR="003F4CD5" w:rsidRDefault="003F4CD5" w:rsidP="005A0B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٨-تاريخ اعداد هذا الوصف </w:t>
            </w:r>
          </w:p>
        </w:tc>
        <w:tc>
          <w:tcPr>
            <w:tcW w:w="5791" w:type="dxa"/>
          </w:tcPr>
          <w:p w:rsidR="003F4CD5" w:rsidRPr="00892E09" w:rsidRDefault="003F4CD5" w:rsidP="00A04717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5/1/2020</w:t>
            </w:r>
          </w:p>
        </w:tc>
      </w:tr>
      <w:tr w:rsidR="009679D4" w:rsidTr="00655D50">
        <w:tc>
          <w:tcPr>
            <w:tcW w:w="8556" w:type="dxa"/>
            <w:gridSpan w:val="2"/>
            <w:shd w:val="clear" w:color="auto" w:fill="D5DCE4" w:themeFill="text2" w:themeFillTint="33"/>
          </w:tcPr>
          <w:p w:rsidR="009679D4" w:rsidRDefault="00945F26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٩-أهداف المقرر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أ- فائدة تعليمية من خلال التعرف على السياسات النقدية.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ب- التمييز بين السياسات النقدية.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جـ - التعرف على البنك المركزي واهدافة.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د- التعرف على وظائف البنك المركزي.</w:t>
            </w:r>
          </w:p>
        </w:tc>
      </w:tr>
      <w:tr w:rsidR="00B73197" w:rsidTr="003F4CD5">
        <w:tc>
          <w:tcPr>
            <w:tcW w:w="8556" w:type="dxa"/>
            <w:gridSpan w:val="2"/>
          </w:tcPr>
          <w:p w:rsidR="00B73197" w:rsidRPr="00B73197" w:rsidRDefault="00B73197" w:rsidP="00966DA5">
            <w:pPr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هـ- التعرف على ادوات السياسة النقدية الكمية والنوعية.</w:t>
            </w:r>
          </w:p>
        </w:tc>
      </w:tr>
      <w:tr w:rsidR="00531EC7" w:rsidTr="00655D50">
        <w:tc>
          <w:tcPr>
            <w:tcW w:w="8556" w:type="dxa"/>
            <w:gridSpan w:val="2"/>
            <w:shd w:val="clear" w:color="auto" w:fill="D5DCE4" w:themeFill="text2" w:themeFillTint="33"/>
          </w:tcPr>
          <w:p w:rsidR="00531EC7" w:rsidRDefault="00531EC7" w:rsidP="00892E0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١٠-مخرجات </w:t>
            </w:r>
            <w:r w:rsidR="00855819">
              <w:rPr>
                <w:rFonts w:hint="cs"/>
                <w:color w:val="000000" w:themeColor="text1"/>
                <w:rtl/>
              </w:rPr>
              <w:t>التعلم وطرائق التعليم والتعلم والتقييم</w:t>
            </w:r>
          </w:p>
        </w:tc>
      </w:tr>
      <w:tr w:rsidR="00855819" w:rsidTr="003F4CD5">
        <w:tc>
          <w:tcPr>
            <w:tcW w:w="8556" w:type="dxa"/>
            <w:gridSpan w:val="2"/>
          </w:tcPr>
          <w:p w:rsidR="00855819" w:rsidRDefault="009E0D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أ-المعرفة والفهم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1- التعرف على مفهوم البنك المركزي واهدافة.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2- التعرف على وظائف البنك المركزي.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3- التعرف على ميزانية البنك المركزي.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4- استقلالية البنك المركزي (خطواتها ومعاييرها).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5- المصارف التجارية (مفهومها واداواتها).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6- السياسة النقدية (مفهومها وادواتها).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7- ادوات السياسة النقدية.</w:t>
            </w:r>
          </w:p>
          <w:p w:rsidR="00B73197" w:rsidRPr="00B73197" w:rsidRDefault="00B73197" w:rsidP="00B73197">
            <w:pPr>
              <w:ind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8- فعالية السياسة النقدية في الاقتصاديات الرأسمالية والنامية.</w:t>
            </w:r>
          </w:p>
          <w:p w:rsidR="009E0D37" w:rsidRPr="003F4CD5" w:rsidRDefault="009E0D37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AF31D9" w:rsidTr="003F4CD5">
        <w:tc>
          <w:tcPr>
            <w:tcW w:w="8556" w:type="dxa"/>
            <w:gridSpan w:val="2"/>
          </w:tcPr>
          <w:p w:rsidR="00AF31D9" w:rsidRDefault="00AF31D9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ب-المهارات الخاصة بالموضوع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1- تطبيقات رياضية لميزانية البنك المركزي.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2- تطبيقات رياضية لميزانية المصارف التجارية.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3- تطبيقات رياضية لآدوات السياسة النقدية.</w:t>
            </w:r>
          </w:p>
          <w:p w:rsidR="00AF31D9" w:rsidRPr="00B73197" w:rsidRDefault="00AF31D9">
            <w:pPr>
              <w:rPr>
                <w:color w:val="000000" w:themeColor="text1"/>
                <w:rtl/>
              </w:rPr>
            </w:pPr>
          </w:p>
        </w:tc>
      </w:tr>
      <w:tr w:rsidR="00AF31D9" w:rsidTr="003F4CD5">
        <w:tc>
          <w:tcPr>
            <w:tcW w:w="8556" w:type="dxa"/>
            <w:gridSpan w:val="2"/>
          </w:tcPr>
          <w:p w:rsidR="00AF31D9" w:rsidRDefault="007B1AA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ج-طرائق التعليم والتعلم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</w:rPr>
              <w:t xml:space="preserve">1- </w:t>
            </w:r>
            <w:r w:rsidRPr="00B73197">
              <w:rPr>
                <w:rFonts w:hint="cs"/>
                <w:rtl/>
                <w:lang w:bidi="ar-IQ"/>
              </w:rPr>
              <w:t>شرح مفردات المادة بشكل نظري مع ربطها بالواقع الاقتصادي والمعرفي.</w:t>
            </w:r>
          </w:p>
          <w:p w:rsidR="00B73197" w:rsidRPr="00B73197" w:rsidRDefault="00B73197" w:rsidP="00B73197">
            <w:pPr>
              <w:ind w:right="-851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2- استخدام التحليل الرياضي لحل المسائل الرياضية الخاصة بميزانية البنك المركزي.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3- اجراء اختبارات يومية واسبوعية لمعرفة مدى استيعاب الطالب للمادة.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4- تفعيل مشاركة الطالب في شرح المادة والاجابة على استفساراتهم.</w:t>
            </w:r>
          </w:p>
          <w:p w:rsidR="007B1AA7" w:rsidRPr="00B73197" w:rsidRDefault="007B1AA7">
            <w:pPr>
              <w:rPr>
                <w:color w:val="000000" w:themeColor="text1"/>
                <w:rtl/>
              </w:rPr>
            </w:pPr>
          </w:p>
        </w:tc>
      </w:tr>
      <w:tr w:rsidR="00FC14CB" w:rsidTr="003F4CD5">
        <w:tc>
          <w:tcPr>
            <w:tcW w:w="8556" w:type="dxa"/>
            <w:gridSpan w:val="2"/>
          </w:tcPr>
          <w:p w:rsidR="00FC14CB" w:rsidRDefault="00FC14C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د-طرائق التقييم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1- مشاركة الطالب في تحضير المادة وشرحها.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2- اجراء مناقشات لآسئلة خارجية تتعلق بالواقع المصرفي للبنوك والمصارف.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3- اعداد التقارير وانشطة حقيقية لتقييم الطالب.</w:t>
            </w:r>
          </w:p>
          <w:p w:rsidR="00B73197" w:rsidRPr="00B73197" w:rsidRDefault="00B73197" w:rsidP="00B73197">
            <w:pPr>
              <w:ind w:right="-227"/>
              <w:rPr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4- الزام الطالب بالحضور عن طريق اعطاء درجة للحضور.</w:t>
            </w:r>
          </w:p>
          <w:p w:rsidR="00FC14CB" w:rsidRPr="00B73197" w:rsidRDefault="00FC14CB" w:rsidP="00892E09">
            <w:pPr>
              <w:rPr>
                <w:color w:val="000000" w:themeColor="text1"/>
                <w:rtl/>
              </w:rPr>
            </w:pPr>
          </w:p>
        </w:tc>
      </w:tr>
      <w:tr w:rsidR="00A0371F" w:rsidTr="00655D50">
        <w:trPr>
          <w:trHeight w:val="213"/>
        </w:trPr>
        <w:tc>
          <w:tcPr>
            <w:tcW w:w="8556" w:type="dxa"/>
            <w:gridSpan w:val="2"/>
            <w:shd w:val="clear" w:color="auto" w:fill="D5DCE4" w:themeFill="text2" w:themeFillTint="33"/>
          </w:tcPr>
          <w:p w:rsidR="001947D2" w:rsidRDefault="00372E2F" w:rsidP="00655D50">
            <w:pPr>
              <w:rPr>
                <w:color w:val="000000" w:themeColor="text1"/>
                <w:rtl/>
                <w:lang w:bidi="ar-IQ"/>
              </w:rPr>
            </w:pPr>
            <w:r>
              <w:rPr>
                <w:rFonts w:hint="cs"/>
                <w:color w:val="000000" w:themeColor="text1"/>
                <w:rtl/>
              </w:rPr>
              <w:t>١١-مه</w:t>
            </w:r>
            <w:r w:rsidR="001947D2">
              <w:rPr>
                <w:rFonts w:hint="cs"/>
                <w:color w:val="000000" w:themeColor="text1"/>
                <w:rtl/>
              </w:rPr>
              <w:t>ارات التفكير</w:t>
            </w:r>
          </w:p>
        </w:tc>
      </w:tr>
      <w:tr w:rsidR="00655D50" w:rsidTr="003F4CD5">
        <w:trPr>
          <w:trHeight w:val="923"/>
        </w:trPr>
        <w:tc>
          <w:tcPr>
            <w:tcW w:w="8556" w:type="dxa"/>
            <w:gridSpan w:val="2"/>
          </w:tcPr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lastRenderedPageBreak/>
              <w:t>أ- ربط الجانب النظري للمادة بالواقع العلمي.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ب- تفعيل النقاش العلمي داخل الصف بين الطلبة.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جـ- تعليم الطالب كيفية التفكير المنطقي من خلال المناقشة والحوار.</w:t>
            </w:r>
          </w:p>
          <w:p w:rsidR="00655D50" w:rsidRDefault="00655D50" w:rsidP="00B73197">
            <w:pPr>
              <w:pStyle w:val="a4"/>
              <w:spacing w:after="0"/>
              <w:ind w:left="20" w:right="-227"/>
              <w:rPr>
                <w:color w:val="000000" w:themeColor="text1"/>
                <w:rtl/>
                <w:lang w:bidi="ar-IQ"/>
              </w:rPr>
            </w:pPr>
          </w:p>
        </w:tc>
      </w:tr>
      <w:tr w:rsidR="00892E09" w:rsidRPr="00655D50" w:rsidTr="00655D50">
        <w:tc>
          <w:tcPr>
            <w:tcW w:w="8556" w:type="dxa"/>
            <w:gridSpan w:val="2"/>
            <w:shd w:val="clear" w:color="auto" w:fill="D5DCE4" w:themeFill="text2" w:themeFillTint="33"/>
          </w:tcPr>
          <w:p w:rsidR="00265DB8" w:rsidRPr="00655D50" w:rsidRDefault="00265DB8" w:rsidP="00655D50">
            <w:pPr>
              <w:rPr>
                <w:rtl/>
              </w:rPr>
            </w:pPr>
            <w:r w:rsidRPr="00655D50">
              <w:rPr>
                <w:rFonts w:hint="cs"/>
                <w:rtl/>
              </w:rPr>
              <w:t>١٢-البنية التحتية</w:t>
            </w:r>
          </w:p>
        </w:tc>
      </w:tr>
      <w:tr w:rsidR="009B290E" w:rsidTr="003F4CD5">
        <w:tc>
          <w:tcPr>
            <w:tcW w:w="2765" w:type="dxa"/>
          </w:tcPr>
          <w:p w:rsidR="009B290E" w:rsidRPr="00892E09" w:rsidRDefault="005B6295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أ-القراءات المطلوبة</w:t>
            </w:r>
          </w:p>
          <w:p w:rsidR="005B6295" w:rsidRPr="00892E09" w:rsidRDefault="003D24E0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-النصوص الاساسية</w:t>
            </w:r>
          </w:p>
          <w:p w:rsidR="003D24E0" w:rsidRPr="00892E09" w:rsidRDefault="003D24E0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-كتب المقرر</w:t>
            </w:r>
          </w:p>
          <w:p w:rsidR="003D24E0" w:rsidRPr="00892E09" w:rsidRDefault="004E07CA">
            <w:pPr>
              <w:rPr>
                <w:color w:val="000000" w:themeColor="text1"/>
                <w:rtl/>
              </w:rPr>
            </w:pPr>
            <w:r w:rsidRPr="00892E09">
              <w:rPr>
                <w:rFonts w:hint="cs"/>
                <w:color w:val="000000" w:themeColor="text1"/>
                <w:rtl/>
              </w:rPr>
              <w:t>-أخرى</w:t>
            </w:r>
          </w:p>
        </w:tc>
        <w:tc>
          <w:tcPr>
            <w:tcW w:w="5791" w:type="dxa"/>
          </w:tcPr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أ- نقود وبنوك مع وجهة نظر اسلامية / الدكتور زكريا عبد الحميد باشا.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ب- الاقتصاد النقدي / احمد بريهي العلي.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جـ- الاقتصاد الكلي النظري والسياسة النقدية / مايكل ايدمجان.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د- محمد زكي الشافعي / مقدمة في النقود والبنوك.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هـ- النقود والبنوك / سامي خليل.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و- النقود والبنوك / عوض فاضل اسماعيل الدليمي.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ز- النقود والبنوك / محمد عبد العزيز عجمية.</w:t>
            </w:r>
          </w:p>
          <w:p w:rsidR="00B73197" w:rsidRPr="00B73197" w:rsidRDefault="00B73197" w:rsidP="00B73197">
            <w:pPr>
              <w:pStyle w:val="a4"/>
              <w:spacing w:after="0"/>
              <w:ind w:left="20" w:right="-227"/>
              <w:rPr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ح- السياسة النقدية / علي توفيق الصادق.</w:t>
            </w:r>
          </w:p>
          <w:p w:rsidR="00B73197" w:rsidRPr="004832A1" w:rsidRDefault="00B73197" w:rsidP="00B73197">
            <w:pPr>
              <w:pStyle w:val="a4"/>
              <w:spacing w:after="0"/>
              <w:ind w:left="20" w:right="-227"/>
              <w:rPr>
                <w:sz w:val="32"/>
                <w:szCs w:val="32"/>
                <w:rtl/>
                <w:lang w:bidi="ar-IQ"/>
              </w:rPr>
            </w:pPr>
            <w:r w:rsidRPr="00B73197">
              <w:rPr>
                <w:rFonts w:hint="cs"/>
                <w:rtl/>
                <w:lang w:bidi="ar-IQ"/>
              </w:rPr>
              <w:t>ط - النظريات والسياسة النقدية / سامي خليل.</w:t>
            </w:r>
          </w:p>
          <w:p w:rsidR="009B290E" w:rsidRDefault="009B290E">
            <w:pPr>
              <w:rPr>
                <w:color w:val="000000" w:themeColor="text1"/>
                <w:rtl/>
                <w:lang w:bidi="ar-IQ"/>
              </w:rPr>
            </w:pPr>
          </w:p>
        </w:tc>
      </w:tr>
      <w:tr w:rsidR="00875015" w:rsidTr="003F4CD5">
        <w:tc>
          <w:tcPr>
            <w:tcW w:w="2765" w:type="dxa"/>
          </w:tcPr>
          <w:p w:rsidR="00875015" w:rsidRDefault="004E07CA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ب-متطلبات خاصة </w:t>
            </w:r>
            <w:r w:rsidR="00781B78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>وتشمل على سبيل المثال ورش العمل والدوريات والبرمجيات والمواقع الالكترونية</w:t>
            </w:r>
            <w:r w:rsidR="00781B78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791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875015" w:rsidTr="003F4CD5">
        <w:tc>
          <w:tcPr>
            <w:tcW w:w="2765" w:type="dxa"/>
          </w:tcPr>
          <w:p w:rsidR="00875015" w:rsidRDefault="00781B78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ج-الخدمات الاجتماعية </w:t>
            </w:r>
            <w:r w:rsidR="0013550B">
              <w:rPr>
                <w:rFonts w:hint="cs"/>
                <w:color w:val="000000" w:themeColor="text1"/>
                <w:rtl/>
              </w:rPr>
              <w:t>(</w:t>
            </w:r>
            <w:r>
              <w:rPr>
                <w:rFonts w:hint="cs"/>
                <w:color w:val="000000" w:themeColor="text1"/>
                <w:rtl/>
              </w:rPr>
              <w:t xml:space="preserve">وتشمل على سبيل المثال </w:t>
            </w:r>
            <w:r w:rsidR="00A86238">
              <w:rPr>
                <w:rFonts w:hint="cs"/>
                <w:color w:val="000000" w:themeColor="text1"/>
                <w:rtl/>
              </w:rPr>
              <w:t>محاضرات الضيوف والتدريب المهني والدراسات الميدانية</w:t>
            </w:r>
            <w:r w:rsidR="0013550B">
              <w:rPr>
                <w:rFonts w:hint="cs"/>
                <w:color w:val="000000" w:themeColor="text1"/>
                <w:rtl/>
              </w:rPr>
              <w:t>)</w:t>
            </w:r>
          </w:p>
        </w:tc>
        <w:tc>
          <w:tcPr>
            <w:tcW w:w="5791" w:type="dxa"/>
          </w:tcPr>
          <w:p w:rsidR="00875015" w:rsidRDefault="00875015">
            <w:pPr>
              <w:rPr>
                <w:color w:val="000000" w:themeColor="text1"/>
                <w:rtl/>
              </w:rPr>
            </w:pPr>
          </w:p>
        </w:tc>
      </w:tr>
      <w:tr w:rsidR="00030737" w:rsidTr="003F4CD5">
        <w:tc>
          <w:tcPr>
            <w:tcW w:w="8556" w:type="dxa"/>
            <w:gridSpan w:val="2"/>
          </w:tcPr>
          <w:p w:rsidR="00030737" w:rsidRDefault="00030737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١٣-القبول</w:t>
            </w:r>
          </w:p>
        </w:tc>
      </w:tr>
      <w:tr w:rsidR="00CC78A1" w:rsidTr="003F4CD5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المتطلبات السابقة</w:t>
            </w:r>
          </w:p>
        </w:tc>
        <w:tc>
          <w:tcPr>
            <w:tcW w:w="5791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F4CD5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ب-اقل عدد من الطلبة</w:t>
            </w:r>
          </w:p>
        </w:tc>
        <w:tc>
          <w:tcPr>
            <w:tcW w:w="5791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  <w:tr w:rsidR="00CC78A1" w:rsidTr="003F4CD5">
        <w:tc>
          <w:tcPr>
            <w:tcW w:w="2765" w:type="dxa"/>
          </w:tcPr>
          <w:p w:rsidR="00CC78A1" w:rsidRDefault="003774BB">
            <w:pPr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ج-أكبر عدد من الطلبة</w:t>
            </w:r>
          </w:p>
        </w:tc>
        <w:tc>
          <w:tcPr>
            <w:tcW w:w="5791" w:type="dxa"/>
          </w:tcPr>
          <w:p w:rsidR="00CC78A1" w:rsidRDefault="00CC78A1">
            <w:pPr>
              <w:rPr>
                <w:color w:val="000000" w:themeColor="text1"/>
                <w:rtl/>
              </w:rPr>
            </w:pPr>
          </w:p>
        </w:tc>
      </w:tr>
    </w:tbl>
    <w:p w:rsidR="00466801" w:rsidRPr="00531EC7" w:rsidRDefault="00466801">
      <w:pPr>
        <w:rPr>
          <w:i/>
          <w:iCs/>
          <w:color w:val="000000" w:themeColor="text1"/>
          <w:rtl/>
        </w:rPr>
      </w:pPr>
    </w:p>
    <w:p w:rsidR="001277EA" w:rsidRDefault="001277EA">
      <w:pPr>
        <w:rPr>
          <w:color w:val="000000" w:themeColor="text1"/>
          <w:rtl/>
        </w:rPr>
      </w:pPr>
    </w:p>
    <w:p w:rsidR="006E56B3" w:rsidRPr="005E342C" w:rsidRDefault="00CF26D1" w:rsidP="002B6E3E">
      <w:pPr>
        <w:jc w:val="center"/>
        <w:rPr>
          <w:b/>
          <w:bCs/>
          <w:color w:val="000000" w:themeColor="text1"/>
          <w:u w:val="single"/>
          <w:rtl/>
        </w:rPr>
      </w:pPr>
      <w:bookmarkStart w:id="0" w:name="_GoBack"/>
      <w:r w:rsidRPr="005E342C">
        <w:rPr>
          <w:rFonts w:hint="cs"/>
          <w:b/>
          <w:bCs/>
          <w:color w:val="000000" w:themeColor="text1"/>
          <w:u w:val="single"/>
          <w:rtl/>
        </w:rPr>
        <w:t>هيكلية المادة الدراسية</w:t>
      </w:r>
    </w:p>
    <w:bookmarkEnd w:id="0"/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الاولى /</w:t>
      </w:r>
      <w:r w:rsidRPr="00B73197">
        <w:rPr>
          <w:rFonts w:hint="cs"/>
          <w:rtl/>
          <w:lang w:bidi="ar-IQ"/>
        </w:rPr>
        <w:t xml:space="preserve"> مفهوم البنك المركزي واهدافه.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 xml:space="preserve">المحاضرة الثانية / </w:t>
      </w:r>
      <w:r w:rsidRPr="00B73197">
        <w:rPr>
          <w:rFonts w:hint="cs"/>
          <w:rtl/>
          <w:lang w:bidi="ar-IQ"/>
        </w:rPr>
        <w:t>ميزانية</w:t>
      </w:r>
      <w:r w:rsidRPr="00B73197">
        <w:rPr>
          <w:rFonts w:hint="cs"/>
          <w:b/>
          <w:bCs/>
          <w:rtl/>
          <w:lang w:bidi="ar-IQ"/>
        </w:rPr>
        <w:t xml:space="preserve"> </w:t>
      </w:r>
      <w:r w:rsidRPr="00B73197">
        <w:rPr>
          <w:rFonts w:hint="cs"/>
          <w:rtl/>
          <w:lang w:bidi="ar-IQ"/>
        </w:rPr>
        <w:t>البنك المركزي ووظائفه 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الثالثة /</w:t>
      </w:r>
      <w:r w:rsidRPr="00B73197">
        <w:rPr>
          <w:rFonts w:hint="cs"/>
          <w:rtl/>
          <w:lang w:bidi="ar-IQ"/>
        </w:rPr>
        <w:t xml:space="preserve"> المصارف التجارية مفهومها واهدافها وميزانيتها.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الرابعة /</w:t>
      </w:r>
      <w:r w:rsidRPr="00B73197">
        <w:rPr>
          <w:rFonts w:hint="cs"/>
          <w:rtl/>
          <w:lang w:bidi="ar-IQ"/>
        </w:rPr>
        <w:t xml:space="preserve"> استقلالية البنك المركزي خطواتها ومعاييرها.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الخامسة /</w:t>
      </w:r>
      <w:r w:rsidRPr="00B73197">
        <w:rPr>
          <w:rFonts w:hint="cs"/>
          <w:rtl/>
          <w:lang w:bidi="ar-IQ"/>
        </w:rPr>
        <w:t xml:space="preserve"> السياسة النقدية مفهومها وادواتها 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السادسة /</w:t>
      </w:r>
      <w:r w:rsidRPr="00B73197">
        <w:rPr>
          <w:rFonts w:hint="cs"/>
          <w:rtl/>
          <w:lang w:bidi="ar-IQ"/>
        </w:rPr>
        <w:t xml:space="preserve"> ادوات السياسة النقدية الكمية والنوعية.</w:t>
      </w:r>
    </w:p>
    <w:p w:rsidR="00B73197" w:rsidRPr="00B73197" w:rsidRDefault="00B73197" w:rsidP="00B73197">
      <w:pPr>
        <w:pStyle w:val="a4"/>
        <w:spacing w:after="0"/>
        <w:ind w:left="20" w:right="-227"/>
        <w:rPr>
          <w:rtl/>
          <w:lang w:bidi="ar-IQ"/>
        </w:rPr>
      </w:pPr>
      <w:r w:rsidRPr="00B73197">
        <w:rPr>
          <w:rFonts w:hint="cs"/>
          <w:b/>
          <w:bCs/>
          <w:rtl/>
          <w:lang w:bidi="ar-IQ"/>
        </w:rPr>
        <w:t>المحاضرة السابعة /</w:t>
      </w:r>
      <w:r w:rsidRPr="00B73197">
        <w:rPr>
          <w:rFonts w:hint="cs"/>
          <w:rtl/>
          <w:lang w:bidi="ar-IQ"/>
        </w:rPr>
        <w:t xml:space="preserve"> فعالية السياسة النقدية في الدول النامية والرأسمالية.</w:t>
      </w:r>
    </w:p>
    <w:p w:rsidR="006E56B3" w:rsidRDefault="006E56B3">
      <w:pPr>
        <w:rPr>
          <w:color w:val="000000" w:themeColor="text1"/>
          <w:rtl/>
          <w:lang w:bidi="ar-IQ"/>
        </w:rPr>
      </w:pPr>
    </w:p>
    <w:p w:rsidR="00B73197" w:rsidRDefault="00B73197">
      <w:pPr>
        <w:rPr>
          <w:color w:val="000000" w:themeColor="text1"/>
          <w:rtl/>
          <w:lang w:bidi="ar-IQ"/>
        </w:rPr>
      </w:pPr>
    </w:p>
    <w:p w:rsidR="00B73197" w:rsidRDefault="00B73197">
      <w:pPr>
        <w:rPr>
          <w:color w:val="000000" w:themeColor="text1"/>
          <w:rtl/>
          <w:lang w:bidi="ar-IQ"/>
        </w:rPr>
      </w:pPr>
    </w:p>
    <w:p w:rsidR="00B73197" w:rsidRDefault="00B73197">
      <w:pPr>
        <w:rPr>
          <w:color w:val="000000" w:themeColor="text1"/>
          <w:rtl/>
          <w:lang w:bidi="ar-IQ"/>
        </w:rPr>
      </w:pPr>
    </w:p>
    <w:p w:rsidR="00B73197" w:rsidRPr="00B73197" w:rsidRDefault="00B73197" w:rsidP="00B73197">
      <w:pPr>
        <w:pStyle w:val="a4"/>
        <w:spacing w:after="0"/>
        <w:ind w:left="-510" w:right="709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color w:val="000000" w:themeColor="text1"/>
          <w:rtl/>
          <w:lang w:bidi="ar-IQ"/>
        </w:rPr>
        <w:t xml:space="preserve">                                                        </w:t>
      </w:r>
      <w:r w:rsidRPr="00B73197">
        <w:rPr>
          <w:rFonts w:hint="cs"/>
          <w:b/>
          <w:bCs/>
          <w:sz w:val="28"/>
          <w:szCs w:val="28"/>
          <w:rtl/>
          <w:lang w:bidi="ar-IQ"/>
        </w:rPr>
        <w:t>أ.م.د عفراء هادي سعيد</w:t>
      </w:r>
    </w:p>
    <w:p w:rsidR="00B73197" w:rsidRPr="00EE04B4" w:rsidRDefault="00B73197">
      <w:pPr>
        <w:rPr>
          <w:color w:val="000000" w:themeColor="text1"/>
          <w:lang w:bidi="ar-IQ"/>
        </w:rPr>
      </w:pPr>
    </w:p>
    <w:sectPr w:rsidR="00B73197" w:rsidRPr="00EE04B4" w:rsidSect="008B75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47F88"/>
    <w:multiLevelType w:val="hybridMultilevel"/>
    <w:tmpl w:val="E01A01FC"/>
    <w:lvl w:ilvl="0" w:tplc="8A008A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4E6"/>
    <w:rsid w:val="00030737"/>
    <w:rsid w:val="000652C0"/>
    <w:rsid w:val="001277EA"/>
    <w:rsid w:val="0013550B"/>
    <w:rsid w:val="001947D2"/>
    <w:rsid w:val="00223785"/>
    <w:rsid w:val="00224AFE"/>
    <w:rsid w:val="002454E1"/>
    <w:rsid w:val="00265DB8"/>
    <w:rsid w:val="00275D61"/>
    <w:rsid w:val="002B6E3E"/>
    <w:rsid w:val="00313057"/>
    <w:rsid w:val="00372E2F"/>
    <w:rsid w:val="003774BB"/>
    <w:rsid w:val="003C01E9"/>
    <w:rsid w:val="003D24E0"/>
    <w:rsid w:val="003E52D9"/>
    <w:rsid w:val="003E64E6"/>
    <w:rsid w:val="003F4CD5"/>
    <w:rsid w:val="00412A0D"/>
    <w:rsid w:val="004661DB"/>
    <w:rsid w:val="00466801"/>
    <w:rsid w:val="004835B9"/>
    <w:rsid w:val="00485AFC"/>
    <w:rsid w:val="004E07CA"/>
    <w:rsid w:val="004F19DE"/>
    <w:rsid w:val="00531EC7"/>
    <w:rsid w:val="005710B4"/>
    <w:rsid w:val="0057625D"/>
    <w:rsid w:val="00596F13"/>
    <w:rsid w:val="005A0B26"/>
    <w:rsid w:val="005B6295"/>
    <w:rsid w:val="005E342C"/>
    <w:rsid w:val="006038C3"/>
    <w:rsid w:val="00632585"/>
    <w:rsid w:val="00655D50"/>
    <w:rsid w:val="00663C02"/>
    <w:rsid w:val="006B0543"/>
    <w:rsid w:val="006E56B3"/>
    <w:rsid w:val="006E58FF"/>
    <w:rsid w:val="00712C4C"/>
    <w:rsid w:val="0076684E"/>
    <w:rsid w:val="007754D7"/>
    <w:rsid w:val="00781B78"/>
    <w:rsid w:val="007B1AA7"/>
    <w:rsid w:val="007C1835"/>
    <w:rsid w:val="007C2FB8"/>
    <w:rsid w:val="00855819"/>
    <w:rsid w:val="00875015"/>
    <w:rsid w:val="00892E09"/>
    <w:rsid w:val="008B754D"/>
    <w:rsid w:val="00932CF3"/>
    <w:rsid w:val="00945F26"/>
    <w:rsid w:val="00950818"/>
    <w:rsid w:val="009679D4"/>
    <w:rsid w:val="00971CCB"/>
    <w:rsid w:val="00986896"/>
    <w:rsid w:val="009B290E"/>
    <w:rsid w:val="009E0D37"/>
    <w:rsid w:val="00A0371F"/>
    <w:rsid w:val="00A86238"/>
    <w:rsid w:val="00AB0AAC"/>
    <w:rsid w:val="00AD266B"/>
    <w:rsid w:val="00AE1A47"/>
    <w:rsid w:val="00AF31D9"/>
    <w:rsid w:val="00B332F8"/>
    <w:rsid w:val="00B73197"/>
    <w:rsid w:val="00B86FAF"/>
    <w:rsid w:val="00C238DD"/>
    <w:rsid w:val="00C95C3C"/>
    <w:rsid w:val="00CC3A76"/>
    <w:rsid w:val="00CC78A1"/>
    <w:rsid w:val="00CF26D1"/>
    <w:rsid w:val="00DB007A"/>
    <w:rsid w:val="00DB7314"/>
    <w:rsid w:val="00DC7075"/>
    <w:rsid w:val="00EB5602"/>
    <w:rsid w:val="00ED5E45"/>
    <w:rsid w:val="00EE04B4"/>
    <w:rsid w:val="00F95E97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CD5"/>
    <w:pPr>
      <w:spacing w:after="200" w:line="276" w:lineRule="auto"/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4CD5"/>
    <w:pPr>
      <w:spacing w:after="200" w:line="276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9647707246106</dc:creator>
  <cp:keywords/>
  <dc:description/>
  <cp:lastModifiedBy>ALDHILL</cp:lastModifiedBy>
  <cp:revision>61</cp:revision>
  <dcterms:created xsi:type="dcterms:W3CDTF">2021-01-05T05:28:00Z</dcterms:created>
  <dcterms:modified xsi:type="dcterms:W3CDTF">2021-01-05T22:17:00Z</dcterms:modified>
</cp:coreProperties>
</file>