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9F1FE2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5pt;margin-top:15.6pt;width:459pt;height:8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يوفر وصف المقرر هذا ايجازا مقتضياً لاهم خصائص المقرر ومخرجات التعلم المتوقعة من الطالب تحقيقها مبرهنا عما اذا كان قد حقق الاستفادة القصوى من فرص التعلم </w:t>
                  </w:r>
                  <w:proofErr w:type="gramStart"/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المتاحة ،</w:t>
                  </w:r>
                  <w:proofErr w:type="gramEnd"/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337D6F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كلية الادارة والاقتصاد/ جامعة بغداد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337D6F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قسم الاقتصاد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841B14" w:rsidRPr="00773A88" w:rsidRDefault="00841B14" w:rsidP="00841B14">
            <w:pPr>
              <w:bidi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اقتصاد </w:t>
            </w:r>
            <w:r w:rsidR="002E1B7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كلي</w:t>
            </w:r>
            <w:r w:rsidR="00773A8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1 </w:t>
            </w:r>
            <w:r w:rsidR="00773A88">
              <w:rPr>
                <w:b/>
                <w:bCs/>
                <w:sz w:val="32"/>
                <w:szCs w:val="32"/>
                <w:lang w:val="en-US" w:bidi="ar-IQ"/>
              </w:rPr>
              <w:t>ECB409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841B14" w:rsidP="00B71CFF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محاضرات </w:t>
            </w:r>
            <w:r w:rsidR="00773A8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أسبوعية </w:t>
            </w:r>
            <w:proofErr w:type="gramStart"/>
            <w:r w:rsidR="00773A8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الكترونية</w:t>
            </w:r>
            <w:r w:rsidR="006510AC"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  <w:r w:rsidR="006510A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+</w:t>
            </w:r>
            <w:proofErr w:type="gramEnd"/>
            <w:r w:rsidR="006510A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حضورية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125874" w:rsidRDefault="006510AC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الأول 2020-2021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25874" w:rsidRDefault="002E1B77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ثلاث ساعات</w:t>
            </w:r>
            <w:r w:rsidR="00841B1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اسبوعياً</w:t>
            </w:r>
            <w:r w:rsidR="00773A8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45 ساعة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25874" w:rsidRDefault="00841B14" w:rsidP="006510AC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2/</w:t>
            </w:r>
            <w:r w:rsidR="002E1B7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/</w:t>
            </w:r>
            <w:r w:rsidR="00773A8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</w:t>
            </w:r>
            <w:r w:rsidR="006510A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  <w:bookmarkStart w:id="0" w:name="_GoBack"/>
            <w:bookmarkEnd w:id="0"/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125874" w:rsidRPr="00125874" w:rsidTr="00B11773">
        <w:trPr>
          <w:trHeight w:val="4364"/>
        </w:trPr>
        <w:tc>
          <w:tcPr>
            <w:tcW w:w="9016" w:type="dxa"/>
            <w:gridSpan w:val="2"/>
          </w:tcPr>
          <w:p w:rsidR="002E1B77" w:rsidRPr="00125874" w:rsidRDefault="002E1B77" w:rsidP="002E1B77">
            <w:pPr>
              <w:autoSpaceDE w:val="0"/>
              <w:autoSpaceDN w:val="0"/>
              <w:bidi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تعليم الطالب تحليل النشاط الكلي ودور متغيراته الاقتصادية في خلق الاختلالات ومن ثم كيفية معالجتها وصولاً للتوازن الاقتصادي الكلي مع تهيئة بيئة الاستقرار الكلي والنمو الاقتصادي طويل الأمد.</w:t>
            </w:r>
          </w:p>
          <w:p w:rsidR="00841B14" w:rsidRPr="002E1B77" w:rsidRDefault="00841B14" w:rsidP="00841B14">
            <w:pPr>
              <w:autoSpaceDE w:val="0"/>
              <w:autoSpaceDN w:val="0"/>
              <w:bidi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</w:tbl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</w:t>
            </w:r>
            <w:proofErr w:type="gramEnd"/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أ- المعرفة</w:t>
            </w:r>
            <w:proofErr w:type="gramEnd"/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والفهم </w:t>
            </w:r>
          </w:p>
          <w:p w:rsidR="00841B14" w:rsidRPr="00125874" w:rsidRDefault="00841B14" w:rsidP="002E1B77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معرفة و</w:t>
            </w:r>
            <w:r w:rsidR="002E1B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الطالب بالتطورات الاقتصادية الكلي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ة</w:t>
            </w:r>
            <w:r w:rsidR="002E1B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ومحاولة وصول الاقتصاد الوطني الى التوازن الكلي والاستقرار الاقتصادي.</w:t>
            </w:r>
          </w:p>
          <w:p w:rsidR="00125874" w:rsidRPr="002E1B77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DA4F42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</w:t>
            </w:r>
            <w:proofErr w:type="gramStart"/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-  </w:t>
            </w:r>
            <w:proofErr w:type="gramEnd"/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المهارات الخاصة بالموضوع </w:t>
            </w:r>
          </w:p>
          <w:p w:rsidR="00DA4F42" w:rsidRDefault="00DA4F42" w:rsidP="002E1B77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تتجسد في الأهمية البالغة </w:t>
            </w:r>
            <w:r w:rsidR="002E1B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للتوازن الاقتصادي الكلي ومن ثم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رفاهية الشعوب</w:t>
            </w:r>
            <w:r w:rsidR="002E1B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2E1B77" w:rsidRDefault="002E1B77" w:rsidP="002E1B77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2E1B77" w:rsidRPr="00125874" w:rsidRDefault="002E1B77" w:rsidP="002E1B77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</w:t>
            </w:r>
            <w:proofErr w:type="gramEnd"/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التفكير</w:t>
            </w:r>
          </w:p>
          <w:p w:rsidR="00B71CFF" w:rsidRPr="00125874" w:rsidRDefault="00DA4F42" w:rsidP="002E1B77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التفكير المعمق لدى الطالب بكيفية </w:t>
            </w:r>
            <w:r w:rsidR="002E1B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معالجة الاختلالات الهيكلية الكلية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في </w:t>
            </w:r>
            <w:r w:rsidR="002E1B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الاقتصاد.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DA4F42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DA4F42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</w:t>
            </w:r>
            <w:r w:rsidR="00DA4F4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125874" w:rsidRDefault="00DA4F42" w:rsidP="00DA4F42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الاعتماد على عناصر التعليم من نظرية التعليم وحاجة المتعلم </w:t>
            </w:r>
            <w:proofErr w:type="spellStart"/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لاشباع</w:t>
            </w:r>
            <w:proofErr w:type="spellEnd"/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الحاجة اضافة الى الخبرة المكتسبة والأدوات سواء كانت وسيلة أو أداة ومصدر المتعلم سواء كان معلم أو جهاز أو مكتبة وتوفير البيئة الملائمة للتعليم.</w:t>
            </w:r>
          </w:p>
          <w:p w:rsidR="00DA4F42" w:rsidRDefault="00DA4F42" w:rsidP="00DA4F42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DA4F42" w:rsidRPr="00125874" w:rsidRDefault="00DA4F42" w:rsidP="00DA4F42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3E5E6B" w:rsidRDefault="003E5E6B" w:rsidP="003E5E6B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1. النشا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ط الصيفي للطلبة اليومي.</w:t>
            </w:r>
          </w:p>
          <w:p w:rsidR="003E5E6B" w:rsidRDefault="003E5E6B" w:rsidP="003E5E6B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2. الامتحانات الفصلية على أن </w:t>
            </w:r>
            <w:proofErr w:type="spellStart"/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لاتقل</w:t>
            </w:r>
            <w:proofErr w:type="spellEnd"/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عن اختبارين</w:t>
            </w:r>
            <w:r w:rsidR="00AB7F2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في كل فصل دراسي.</w:t>
            </w:r>
          </w:p>
          <w:p w:rsidR="00AB7F20" w:rsidRPr="00125874" w:rsidRDefault="00AB7F20" w:rsidP="00AB7F20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3. نظام الاختبارات السريعة اليومية.</w:t>
            </w:r>
          </w:p>
          <w:p w:rsidR="00125874" w:rsidRPr="003E5E6B" w:rsidRDefault="00125874" w:rsidP="003E5E6B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AB7F2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9F1FE2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w:pict>
          <v:shape id="Text Box 4" o:spid="_x0000_s1027" type="#_x0000_t202" style="position:absolute;left:0;text-align:left;margin-left:-3.7pt;margin-top:-18.4pt;width:461.25pt;height:142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">
            <v:textbox>
              <w:txbxContent>
                <w:p w:rsidR="008273E0" w:rsidRDefault="008273E0" w:rsidP="008273E0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proofErr w:type="gramStart"/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د- المهارات</w:t>
                  </w:r>
                  <w:proofErr w:type="gramEnd"/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العامة </w:t>
                  </w:r>
                  <w:proofErr w:type="spellStart"/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والتاهيلية</w:t>
                  </w:r>
                  <w:proofErr w:type="spellEnd"/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المنقولة (المهارات الاخرى المتعلقة بقابلية التوظيف والتطور الشخصي)</w:t>
                  </w:r>
                </w:p>
                <w:p w:rsidR="00125874" w:rsidRPr="00AB7F20" w:rsidRDefault="00AB7F20" w:rsidP="002E1B77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val="en-US" w:bidi="ar-IQ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قدرة الطالب على استيعاب</w:t>
                  </w:r>
                  <w:r w:rsidR="002E1B7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المتغيرات الاقتصادية الكلية ومحاولة معالجتها للوصول الى الاستقرار الاقتصادي.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  <w:p w:rsidR="00125874" w:rsidRPr="002E1B77" w:rsidRDefault="00125874" w:rsidP="00B71CFF">
                  <w:pPr>
                    <w:jc w:val="center"/>
                    <w:rPr>
                      <w:lang w:val="en-US"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Pr="00125874" w:rsidRDefault="00125874" w:rsidP="00B71CFF">
                  <w:pPr>
                    <w:jc w:val="center"/>
                    <w:rPr>
                      <w:lang w:val="en-US" w:bidi="ar-IQ"/>
                    </w:rPr>
                  </w:pPr>
                </w:p>
              </w:txbxContent>
            </v:textbox>
          </v:shape>
        </w:pict>
      </w:r>
      <w:proofErr w:type="spellStart"/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  <w:proofErr w:type="spellEnd"/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p w:rsidR="00AB7F20" w:rsidRDefault="00AB7F20" w:rsidP="00AB7F20">
      <w:pPr>
        <w:bidi/>
        <w:rPr>
          <w:b/>
          <w:bCs/>
          <w:sz w:val="24"/>
          <w:szCs w:val="24"/>
          <w:rtl/>
          <w:lang w:bidi="ar-IQ"/>
        </w:rPr>
      </w:pPr>
    </w:p>
    <w:p w:rsidR="00AB7F20" w:rsidRDefault="00AB7F20" w:rsidP="00AB7F2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tblpPr w:leftFromText="180" w:rightFromText="180" w:horzAnchor="margin" w:tblpXSpec="center" w:tblpY="-763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978"/>
        <w:gridCol w:w="2397"/>
        <w:gridCol w:w="2413"/>
        <w:gridCol w:w="1360"/>
        <w:gridCol w:w="1615"/>
      </w:tblGrid>
      <w:tr w:rsidR="008273E0" w:rsidRPr="00125874" w:rsidTr="004F1521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4F1521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</w:t>
            </w:r>
            <w:proofErr w:type="gramEnd"/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المقرر</w:t>
            </w:r>
          </w:p>
        </w:tc>
      </w:tr>
      <w:tr w:rsidR="008273E0" w:rsidRPr="00125874" w:rsidTr="004F1521">
        <w:trPr>
          <w:trHeight w:val="551"/>
        </w:trPr>
        <w:tc>
          <w:tcPr>
            <w:tcW w:w="938" w:type="dxa"/>
          </w:tcPr>
          <w:p w:rsidR="008273E0" w:rsidRPr="00125874" w:rsidRDefault="008273E0" w:rsidP="004F1521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الاسبوع</w:t>
            </w:r>
          </w:p>
        </w:tc>
        <w:tc>
          <w:tcPr>
            <w:tcW w:w="978" w:type="dxa"/>
          </w:tcPr>
          <w:p w:rsidR="008273E0" w:rsidRPr="00125874" w:rsidRDefault="008273E0" w:rsidP="004F1521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397" w:type="dxa"/>
          </w:tcPr>
          <w:p w:rsidR="008273E0" w:rsidRPr="00125874" w:rsidRDefault="008273E0" w:rsidP="004F1521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413" w:type="dxa"/>
          </w:tcPr>
          <w:p w:rsidR="008273E0" w:rsidRPr="00125874" w:rsidRDefault="008273E0" w:rsidP="004F1521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360" w:type="dxa"/>
          </w:tcPr>
          <w:p w:rsidR="008273E0" w:rsidRPr="00125874" w:rsidRDefault="008273E0" w:rsidP="004F1521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615" w:type="dxa"/>
          </w:tcPr>
          <w:p w:rsidR="008273E0" w:rsidRPr="00125874" w:rsidRDefault="008273E0" w:rsidP="004F1521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4F1521" w:rsidRPr="00300731" w:rsidTr="004F1521">
        <w:trPr>
          <w:trHeight w:val="547"/>
        </w:trPr>
        <w:tc>
          <w:tcPr>
            <w:tcW w:w="938" w:type="dxa"/>
            <w:vAlign w:val="center"/>
          </w:tcPr>
          <w:p w:rsidR="004F1521" w:rsidRPr="00300731" w:rsidRDefault="004F1521" w:rsidP="004F152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lang w:val="en-US" w:bidi="ar-IQ"/>
              </w:rPr>
            </w:pPr>
            <w:r w:rsidRPr="00300731">
              <w:rPr>
                <w:rFonts w:asciiTheme="minorBidi" w:hAnsiTheme="minorBidi"/>
                <w:b/>
                <w:bCs/>
                <w:color w:val="000000"/>
                <w:lang w:val="en-US" w:bidi="ar-IQ"/>
              </w:rPr>
              <w:t>1</w:t>
            </w:r>
          </w:p>
        </w:tc>
        <w:tc>
          <w:tcPr>
            <w:tcW w:w="978" w:type="dxa"/>
            <w:vAlign w:val="center"/>
          </w:tcPr>
          <w:p w:rsidR="004F1521" w:rsidRPr="00300731" w:rsidRDefault="004F1521" w:rsidP="004F152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rtl/>
                <w:lang w:val="en-US" w:bidi="ar-IQ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rtl/>
                <w:lang w:val="en-US" w:bidi="ar-IQ"/>
              </w:rPr>
              <w:t>3</w:t>
            </w:r>
          </w:p>
        </w:tc>
        <w:tc>
          <w:tcPr>
            <w:tcW w:w="2397" w:type="dxa"/>
            <w:vAlign w:val="center"/>
          </w:tcPr>
          <w:p w:rsidR="004F1521" w:rsidRPr="00300731" w:rsidRDefault="004F1521" w:rsidP="004F1521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lang w:bidi="ar-IQ"/>
              </w:rPr>
            </w:pPr>
          </w:p>
        </w:tc>
        <w:tc>
          <w:tcPr>
            <w:tcW w:w="2413" w:type="dxa"/>
            <w:vAlign w:val="center"/>
          </w:tcPr>
          <w:p w:rsidR="004F1521" w:rsidRPr="00384B08" w:rsidRDefault="004F1521" w:rsidP="004F152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المفاهيم الاقتصادية الاقتصاد الكلي اهدافه </w:t>
            </w:r>
            <w:proofErr w:type="spellStart"/>
            <w:proofErr w:type="gramStart"/>
            <w:r>
              <w:rPr>
                <w:rFonts w:hint="cs"/>
                <w:b/>
                <w:bCs/>
                <w:rtl/>
              </w:rPr>
              <w:t>تطورة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،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العرض والطلب الكليين</w:t>
            </w:r>
          </w:p>
        </w:tc>
        <w:tc>
          <w:tcPr>
            <w:tcW w:w="1360" w:type="dxa"/>
            <w:vAlign w:val="center"/>
          </w:tcPr>
          <w:p w:rsidR="004F1521" w:rsidRPr="00300731" w:rsidRDefault="004F1521" w:rsidP="004F152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4F1521" w:rsidRPr="00300731" w:rsidRDefault="004F1521" w:rsidP="004F152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lang w:val="en-US" w:bidi="ar-IQ"/>
              </w:rPr>
            </w:pPr>
            <w:r w:rsidRPr="00300731">
              <w:rPr>
                <w:rFonts w:asciiTheme="minorBidi" w:hAnsiTheme="minorBidi"/>
                <w:b/>
                <w:bCs/>
                <w:color w:val="000000"/>
                <w:rtl/>
                <w:lang w:bidi="ar-IQ"/>
              </w:rPr>
              <w:t>الاختبارات والامتحانات</w:t>
            </w:r>
          </w:p>
        </w:tc>
      </w:tr>
      <w:tr w:rsidR="004F1521" w:rsidRPr="00300731" w:rsidTr="004F1521">
        <w:trPr>
          <w:trHeight w:val="547"/>
        </w:trPr>
        <w:tc>
          <w:tcPr>
            <w:tcW w:w="938" w:type="dxa"/>
            <w:vAlign w:val="center"/>
          </w:tcPr>
          <w:p w:rsidR="004F1521" w:rsidRPr="00300731" w:rsidRDefault="004F1521" w:rsidP="004F1521">
            <w:pPr>
              <w:jc w:val="center"/>
              <w:rPr>
                <w:rFonts w:asciiTheme="minorBidi" w:hAnsiTheme="minorBidi"/>
                <w:b/>
                <w:bCs/>
                <w:color w:val="000000"/>
                <w:lang w:val="en-US" w:bidi="ar-IQ"/>
              </w:rPr>
            </w:pPr>
            <w:r w:rsidRPr="00300731">
              <w:rPr>
                <w:rFonts w:asciiTheme="minorBidi" w:hAnsiTheme="minorBidi"/>
                <w:b/>
                <w:bCs/>
                <w:color w:val="000000"/>
                <w:lang w:val="en-US" w:bidi="ar-IQ"/>
              </w:rPr>
              <w:t>2</w:t>
            </w:r>
          </w:p>
        </w:tc>
        <w:tc>
          <w:tcPr>
            <w:tcW w:w="978" w:type="dxa"/>
            <w:vAlign w:val="center"/>
          </w:tcPr>
          <w:p w:rsidR="004F1521" w:rsidRPr="00300731" w:rsidRDefault="004F1521" w:rsidP="004F1521">
            <w:pPr>
              <w:jc w:val="center"/>
              <w:rPr>
                <w:rFonts w:asciiTheme="minorBidi" w:hAnsiTheme="minorBidi"/>
                <w:b/>
                <w:bCs/>
                <w:color w:val="000000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rtl/>
                <w:lang w:bidi="ar-IQ"/>
              </w:rPr>
              <w:t>3</w:t>
            </w:r>
          </w:p>
        </w:tc>
        <w:tc>
          <w:tcPr>
            <w:tcW w:w="2397" w:type="dxa"/>
            <w:vAlign w:val="center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color w:val="000000"/>
                <w:lang w:bidi="ar-IQ"/>
              </w:rPr>
            </w:pPr>
          </w:p>
        </w:tc>
        <w:tc>
          <w:tcPr>
            <w:tcW w:w="2413" w:type="dxa"/>
            <w:vAlign w:val="center"/>
          </w:tcPr>
          <w:p w:rsidR="004F1521" w:rsidRPr="00384B08" w:rsidRDefault="004F1521" w:rsidP="004F152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الفرق بين الاقتصاد الكلي </w:t>
            </w:r>
            <w:proofErr w:type="gramStart"/>
            <w:r>
              <w:rPr>
                <w:rFonts w:hint="cs"/>
                <w:b/>
                <w:bCs/>
                <w:rtl/>
              </w:rPr>
              <w:t>والجزئي ،المتغيرات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</w:rPr>
              <w:t>الاقتصادية،كيفية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بناء </w:t>
            </w:r>
            <w:proofErr w:type="spellStart"/>
            <w:r>
              <w:rPr>
                <w:rFonts w:hint="cs"/>
                <w:b/>
                <w:bCs/>
                <w:rtl/>
              </w:rPr>
              <w:t>نتموذنظر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360" w:type="dxa"/>
            <w:vAlign w:val="center"/>
          </w:tcPr>
          <w:p w:rsidR="004F1521" w:rsidRPr="00300731" w:rsidRDefault="004F1521" w:rsidP="004F152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4F1521" w:rsidRPr="00300731" w:rsidRDefault="004F1521" w:rsidP="004F152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lang w:bidi="ar-IQ"/>
              </w:rPr>
            </w:pPr>
          </w:p>
        </w:tc>
      </w:tr>
      <w:tr w:rsidR="004F1521" w:rsidRPr="00300731" w:rsidTr="004F1521">
        <w:trPr>
          <w:trHeight w:val="547"/>
        </w:trPr>
        <w:tc>
          <w:tcPr>
            <w:tcW w:w="938" w:type="dxa"/>
            <w:vAlign w:val="center"/>
          </w:tcPr>
          <w:p w:rsidR="004F1521" w:rsidRPr="00300731" w:rsidRDefault="004F1521" w:rsidP="004F1521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lang w:val="en-US" w:bidi="ar-IQ"/>
              </w:rPr>
            </w:pPr>
            <w:r w:rsidRPr="00300731">
              <w:rPr>
                <w:rFonts w:asciiTheme="minorBidi" w:hAnsiTheme="minorBidi"/>
                <w:b/>
                <w:bCs/>
                <w:color w:val="000000"/>
                <w:lang w:val="en-US" w:bidi="ar-IQ"/>
              </w:rPr>
              <w:t>3</w:t>
            </w:r>
          </w:p>
        </w:tc>
        <w:tc>
          <w:tcPr>
            <w:tcW w:w="978" w:type="dxa"/>
            <w:vAlign w:val="center"/>
          </w:tcPr>
          <w:p w:rsidR="004F1521" w:rsidRPr="00300731" w:rsidRDefault="004F1521" w:rsidP="004F1521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lang w:bidi="ar-IQ"/>
              </w:rPr>
            </w:pPr>
          </w:p>
        </w:tc>
        <w:tc>
          <w:tcPr>
            <w:tcW w:w="2397" w:type="dxa"/>
            <w:vAlign w:val="center"/>
          </w:tcPr>
          <w:p w:rsidR="004F1521" w:rsidRPr="00300731" w:rsidRDefault="004F1521" w:rsidP="004F1521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lang w:bidi="ar-IQ"/>
              </w:rPr>
            </w:pPr>
          </w:p>
        </w:tc>
        <w:tc>
          <w:tcPr>
            <w:tcW w:w="2413" w:type="dxa"/>
            <w:vAlign w:val="center"/>
          </w:tcPr>
          <w:p w:rsidR="004F1521" w:rsidRPr="00384B08" w:rsidRDefault="004F1521" w:rsidP="004F152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نموذج </w:t>
            </w:r>
            <w:proofErr w:type="spellStart"/>
            <w:proofErr w:type="gramStart"/>
            <w:r>
              <w:rPr>
                <w:rFonts w:hint="cs"/>
                <w:b/>
                <w:bCs/>
                <w:rtl/>
              </w:rPr>
              <w:t>نظري،التدفق</w:t>
            </w:r>
            <w:proofErr w:type="spellEnd"/>
            <w:proofErr w:type="gramEnd"/>
            <w:r>
              <w:rPr>
                <w:rFonts w:hint="cs"/>
                <w:b/>
                <w:bCs/>
                <w:rtl/>
              </w:rPr>
              <w:t xml:space="preserve"> الدائري للدخل الواسع </w:t>
            </w:r>
            <w:proofErr w:type="spellStart"/>
            <w:r>
              <w:rPr>
                <w:rFonts w:hint="cs"/>
                <w:b/>
                <w:bCs/>
                <w:rtl/>
              </w:rPr>
              <w:t>والضيق،التوازن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الكلي ونظام المعادلات</w:t>
            </w:r>
          </w:p>
        </w:tc>
        <w:tc>
          <w:tcPr>
            <w:tcW w:w="1360" w:type="dxa"/>
            <w:vAlign w:val="center"/>
          </w:tcPr>
          <w:p w:rsidR="004F1521" w:rsidRPr="00300731" w:rsidRDefault="004F1521" w:rsidP="004F152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4F1521" w:rsidRPr="00300731" w:rsidRDefault="004F1521" w:rsidP="004F152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lang w:bidi="ar-IQ"/>
              </w:rPr>
            </w:pPr>
          </w:p>
        </w:tc>
      </w:tr>
      <w:tr w:rsidR="004F1521" w:rsidRPr="00300731" w:rsidTr="004F1521">
        <w:trPr>
          <w:trHeight w:val="547"/>
        </w:trPr>
        <w:tc>
          <w:tcPr>
            <w:tcW w:w="938" w:type="dxa"/>
            <w:vAlign w:val="center"/>
          </w:tcPr>
          <w:p w:rsidR="004F1521" w:rsidRPr="00300731" w:rsidRDefault="004F1521" w:rsidP="004F1521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lang w:bidi="ar-IQ"/>
              </w:rPr>
            </w:pPr>
            <w:r w:rsidRPr="00300731">
              <w:rPr>
                <w:rFonts w:asciiTheme="minorBidi" w:hAnsiTheme="minorBidi"/>
                <w:b/>
                <w:bCs/>
                <w:color w:val="000000"/>
                <w:lang w:bidi="ar-IQ"/>
              </w:rPr>
              <w:t>4</w:t>
            </w:r>
          </w:p>
        </w:tc>
        <w:tc>
          <w:tcPr>
            <w:tcW w:w="978" w:type="dxa"/>
            <w:vAlign w:val="center"/>
          </w:tcPr>
          <w:p w:rsidR="004F1521" w:rsidRPr="00300731" w:rsidRDefault="004F1521" w:rsidP="004F1521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lang w:bidi="ar-IQ"/>
              </w:rPr>
            </w:pPr>
          </w:p>
        </w:tc>
        <w:tc>
          <w:tcPr>
            <w:tcW w:w="2397" w:type="dxa"/>
            <w:vAlign w:val="center"/>
          </w:tcPr>
          <w:p w:rsidR="004F1521" w:rsidRPr="00300731" w:rsidRDefault="004F1521" w:rsidP="004F1521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lang w:bidi="ar-IQ"/>
              </w:rPr>
            </w:pPr>
          </w:p>
        </w:tc>
        <w:tc>
          <w:tcPr>
            <w:tcW w:w="2413" w:type="dxa"/>
            <w:vAlign w:val="center"/>
          </w:tcPr>
          <w:p w:rsidR="004F1521" w:rsidRPr="00384B08" w:rsidRDefault="004F1521" w:rsidP="004F152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المعادلات </w:t>
            </w:r>
            <w:proofErr w:type="spellStart"/>
            <w:proofErr w:type="gramStart"/>
            <w:r>
              <w:rPr>
                <w:rFonts w:hint="cs"/>
                <w:b/>
                <w:bCs/>
                <w:rtl/>
              </w:rPr>
              <w:t>التوازنية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 امثلة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رياضية متنوعة</w:t>
            </w:r>
          </w:p>
        </w:tc>
        <w:tc>
          <w:tcPr>
            <w:tcW w:w="1360" w:type="dxa"/>
            <w:vAlign w:val="center"/>
          </w:tcPr>
          <w:p w:rsidR="004F1521" w:rsidRPr="00300731" w:rsidRDefault="004F1521" w:rsidP="004F152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4F1521" w:rsidRPr="00300731" w:rsidRDefault="004F1521" w:rsidP="004F152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lang w:bidi="ar-IQ"/>
              </w:rPr>
            </w:pPr>
          </w:p>
        </w:tc>
      </w:tr>
      <w:tr w:rsidR="004F1521" w:rsidRPr="00300731" w:rsidTr="004F1521">
        <w:trPr>
          <w:trHeight w:val="547"/>
        </w:trPr>
        <w:tc>
          <w:tcPr>
            <w:tcW w:w="938" w:type="dxa"/>
            <w:vAlign w:val="center"/>
          </w:tcPr>
          <w:p w:rsidR="004F1521" w:rsidRPr="00300731" w:rsidRDefault="004F1521" w:rsidP="004F1521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rtl/>
                <w:lang w:val="en-US" w:bidi="ar-IQ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lang w:bidi="ar-IQ"/>
              </w:rPr>
              <w:t>5</w:t>
            </w:r>
          </w:p>
        </w:tc>
        <w:tc>
          <w:tcPr>
            <w:tcW w:w="978" w:type="dxa"/>
            <w:vAlign w:val="center"/>
          </w:tcPr>
          <w:p w:rsidR="004F1521" w:rsidRPr="00300731" w:rsidRDefault="004F1521" w:rsidP="004F1521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lang w:bidi="ar-IQ"/>
              </w:rPr>
            </w:pPr>
          </w:p>
        </w:tc>
        <w:tc>
          <w:tcPr>
            <w:tcW w:w="2397" w:type="dxa"/>
            <w:vAlign w:val="center"/>
          </w:tcPr>
          <w:p w:rsidR="004F1521" w:rsidRPr="00300731" w:rsidRDefault="004F1521" w:rsidP="004F1521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lang w:bidi="ar-IQ"/>
              </w:rPr>
            </w:pPr>
          </w:p>
        </w:tc>
        <w:tc>
          <w:tcPr>
            <w:tcW w:w="2413" w:type="dxa"/>
            <w:vAlign w:val="center"/>
          </w:tcPr>
          <w:p w:rsidR="004F1521" w:rsidRPr="00384B08" w:rsidRDefault="004F1521" w:rsidP="004F152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حسابات الدخل القومي</w:t>
            </w:r>
          </w:p>
        </w:tc>
        <w:tc>
          <w:tcPr>
            <w:tcW w:w="1360" w:type="dxa"/>
            <w:vAlign w:val="center"/>
          </w:tcPr>
          <w:p w:rsidR="004F1521" w:rsidRPr="00300731" w:rsidRDefault="004F1521" w:rsidP="004F152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4F1521" w:rsidRPr="00300731" w:rsidRDefault="004F1521" w:rsidP="004F152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lang w:bidi="ar-IQ"/>
              </w:rPr>
            </w:pPr>
          </w:p>
        </w:tc>
      </w:tr>
      <w:tr w:rsidR="004F1521" w:rsidRPr="00300731" w:rsidTr="004F1521">
        <w:trPr>
          <w:trHeight w:val="547"/>
        </w:trPr>
        <w:tc>
          <w:tcPr>
            <w:tcW w:w="938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300731">
              <w:rPr>
                <w:rFonts w:asciiTheme="minorBidi" w:hAnsiTheme="minorBidi"/>
                <w:b/>
                <w:bCs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2397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2413" w:type="dxa"/>
            <w:vAlign w:val="center"/>
          </w:tcPr>
          <w:p w:rsidR="004F1521" w:rsidRPr="00384B08" w:rsidRDefault="004F1521" w:rsidP="004F152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 xml:space="preserve">النموذج التقليدي للتوازن </w:t>
            </w:r>
            <w:r>
              <w:rPr>
                <w:b/>
                <w:bCs/>
              </w:rPr>
              <w:t>AD-AS</w:t>
            </w:r>
          </w:p>
        </w:tc>
        <w:tc>
          <w:tcPr>
            <w:tcW w:w="1360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615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4F1521" w:rsidRPr="00300731" w:rsidTr="004F1521">
        <w:trPr>
          <w:trHeight w:val="547"/>
        </w:trPr>
        <w:tc>
          <w:tcPr>
            <w:tcW w:w="938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300731">
              <w:rPr>
                <w:rFonts w:asciiTheme="minorBidi" w:hAnsiTheme="minorBidi"/>
                <w:b/>
                <w:bCs/>
                <w:rtl/>
                <w:lang w:bidi="ar-IQ"/>
              </w:rPr>
              <w:t>7</w:t>
            </w:r>
          </w:p>
        </w:tc>
        <w:tc>
          <w:tcPr>
            <w:tcW w:w="978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2397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2413" w:type="dxa"/>
            <w:vAlign w:val="center"/>
          </w:tcPr>
          <w:p w:rsidR="004F1521" w:rsidRPr="00384B08" w:rsidRDefault="004F1521" w:rsidP="004F152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الاختلال والازمة والتوازن الكلي</w:t>
            </w:r>
          </w:p>
        </w:tc>
        <w:tc>
          <w:tcPr>
            <w:tcW w:w="1360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615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4F1521" w:rsidRPr="00300731" w:rsidTr="004F1521">
        <w:trPr>
          <w:trHeight w:val="547"/>
        </w:trPr>
        <w:tc>
          <w:tcPr>
            <w:tcW w:w="938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300731">
              <w:rPr>
                <w:rFonts w:asciiTheme="minorBidi" w:hAnsiTheme="minorBidi"/>
                <w:b/>
                <w:bCs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2397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2413" w:type="dxa"/>
            <w:vAlign w:val="center"/>
          </w:tcPr>
          <w:p w:rsidR="004F1521" w:rsidRPr="00384B08" w:rsidRDefault="004F1521" w:rsidP="004F152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 xml:space="preserve">النموذج </w:t>
            </w:r>
            <w:proofErr w:type="spellStart"/>
            <w:r>
              <w:rPr>
                <w:rFonts w:hint="cs"/>
                <w:b/>
                <w:bCs/>
                <w:rtl/>
              </w:rPr>
              <w:t>الكنزي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البسيط </w:t>
            </w:r>
            <w:r>
              <w:rPr>
                <w:b/>
                <w:bCs/>
              </w:rPr>
              <w:t>NE=Y</w:t>
            </w:r>
          </w:p>
        </w:tc>
        <w:tc>
          <w:tcPr>
            <w:tcW w:w="1360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615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4F1521" w:rsidRPr="00300731" w:rsidTr="004F1521">
        <w:trPr>
          <w:trHeight w:val="547"/>
        </w:trPr>
        <w:tc>
          <w:tcPr>
            <w:tcW w:w="938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300731">
              <w:rPr>
                <w:rFonts w:asciiTheme="minorBidi" w:hAnsiTheme="minorBidi"/>
                <w:b/>
                <w:bCs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2397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2413" w:type="dxa"/>
            <w:vAlign w:val="center"/>
          </w:tcPr>
          <w:p w:rsidR="004F1521" w:rsidRPr="00384B08" w:rsidRDefault="004F1521" w:rsidP="004F152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دالة الاستهلاك في التوازن الكلي والميول الحدي ودالة الادخار</w:t>
            </w:r>
          </w:p>
        </w:tc>
        <w:tc>
          <w:tcPr>
            <w:tcW w:w="1360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615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4F1521" w:rsidRPr="00300731" w:rsidTr="004F1521">
        <w:trPr>
          <w:trHeight w:val="547"/>
        </w:trPr>
        <w:tc>
          <w:tcPr>
            <w:tcW w:w="938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300731"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2397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2413" w:type="dxa"/>
            <w:vAlign w:val="center"/>
          </w:tcPr>
          <w:p w:rsidR="004F1521" w:rsidRPr="00384B08" w:rsidRDefault="004F1521" w:rsidP="004F152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الاستثمار ودالة الاستثمار في التوازن الكلي</w:t>
            </w:r>
          </w:p>
        </w:tc>
        <w:tc>
          <w:tcPr>
            <w:tcW w:w="1360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615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4F1521" w:rsidRPr="00300731" w:rsidTr="004F1521">
        <w:trPr>
          <w:trHeight w:val="547"/>
        </w:trPr>
        <w:tc>
          <w:tcPr>
            <w:tcW w:w="938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300731">
              <w:rPr>
                <w:rFonts w:asciiTheme="minorBidi" w:hAnsiTheme="minorBidi"/>
                <w:b/>
                <w:bCs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2397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2413" w:type="dxa"/>
            <w:vAlign w:val="center"/>
          </w:tcPr>
          <w:p w:rsidR="004F1521" w:rsidRPr="00384B08" w:rsidRDefault="004F1521" w:rsidP="004F1521">
            <w:pPr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محددات  الاستثمار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، مبدأ المعجل والمضاعف واثارهم </w:t>
            </w:r>
            <w:proofErr w:type="spellStart"/>
            <w:r>
              <w:rPr>
                <w:rFonts w:hint="cs"/>
                <w:b/>
                <w:bCs/>
                <w:rtl/>
              </w:rPr>
              <w:t>الاقتصاددية</w:t>
            </w:r>
            <w:proofErr w:type="spellEnd"/>
          </w:p>
        </w:tc>
        <w:tc>
          <w:tcPr>
            <w:tcW w:w="1360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615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4F1521" w:rsidRPr="00300731" w:rsidTr="004F1521">
        <w:trPr>
          <w:trHeight w:val="547"/>
        </w:trPr>
        <w:tc>
          <w:tcPr>
            <w:tcW w:w="938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300731">
              <w:rPr>
                <w:rFonts w:asciiTheme="minorBidi" w:hAnsiTheme="minorBidi"/>
                <w:b/>
                <w:bCs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2397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2413" w:type="dxa"/>
            <w:vAlign w:val="center"/>
          </w:tcPr>
          <w:p w:rsidR="004F1521" w:rsidRPr="00384B08" w:rsidRDefault="004F1521" w:rsidP="004F152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القطاع العام والتوازن الكلي ومضاعف الضريبة المقطوعة والنسبية</w:t>
            </w:r>
          </w:p>
        </w:tc>
        <w:tc>
          <w:tcPr>
            <w:tcW w:w="1360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615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4F1521" w:rsidRPr="00300731" w:rsidTr="004F1521">
        <w:trPr>
          <w:trHeight w:val="547"/>
        </w:trPr>
        <w:tc>
          <w:tcPr>
            <w:tcW w:w="938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300731">
              <w:rPr>
                <w:rFonts w:asciiTheme="minorBidi" w:hAnsiTheme="minorBidi"/>
                <w:b/>
                <w:bCs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2397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2413" w:type="dxa"/>
            <w:vAlign w:val="center"/>
          </w:tcPr>
          <w:p w:rsidR="004F1521" w:rsidRPr="00384B08" w:rsidRDefault="004F1521" w:rsidP="004F152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القطاع العام والتوازن الكلي ومضاعف الضريبة</w:t>
            </w:r>
          </w:p>
        </w:tc>
        <w:tc>
          <w:tcPr>
            <w:tcW w:w="1360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615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4F1521" w:rsidRPr="00300731" w:rsidTr="004F1521">
        <w:trPr>
          <w:trHeight w:val="547"/>
        </w:trPr>
        <w:tc>
          <w:tcPr>
            <w:tcW w:w="938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300731">
              <w:rPr>
                <w:rFonts w:asciiTheme="minorBidi" w:hAnsiTheme="minorBidi"/>
                <w:b/>
                <w:bCs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2397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2413" w:type="dxa"/>
            <w:vAlign w:val="center"/>
          </w:tcPr>
          <w:p w:rsidR="004F1521" w:rsidRPr="00384B08" w:rsidRDefault="004F1521" w:rsidP="004F152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امثلة رياضية حول التوازن الكلي</w:t>
            </w:r>
          </w:p>
        </w:tc>
        <w:tc>
          <w:tcPr>
            <w:tcW w:w="1360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615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4F1521" w:rsidRPr="00300731" w:rsidTr="004F1521">
        <w:trPr>
          <w:trHeight w:val="547"/>
        </w:trPr>
        <w:tc>
          <w:tcPr>
            <w:tcW w:w="938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300731">
              <w:rPr>
                <w:rFonts w:asciiTheme="minorBidi" w:hAnsiTheme="minorBidi"/>
                <w:b/>
                <w:bCs/>
                <w:rtl/>
                <w:lang w:bidi="ar-IQ"/>
              </w:rPr>
              <w:t>15</w:t>
            </w:r>
          </w:p>
        </w:tc>
        <w:tc>
          <w:tcPr>
            <w:tcW w:w="978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2397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2413" w:type="dxa"/>
            <w:vAlign w:val="center"/>
          </w:tcPr>
          <w:p w:rsidR="004F1521" w:rsidRPr="00384B08" w:rsidRDefault="004F1521" w:rsidP="004F152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تقييم نموذج التوازن الكلي البسيط</w:t>
            </w:r>
          </w:p>
        </w:tc>
        <w:tc>
          <w:tcPr>
            <w:tcW w:w="1360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615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4F1521" w:rsidRPr="00300731" w:rsidTr="004F1521">
        <w:trPr>
          <w:trHeight w:val="547"/>
        </w:trPr>
        <w:tc>
          <w:tcPr>
            <w:tcW w:w="938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300731">
              <w:rPr>
                <w:rFonts w:asciiTheme="minorBidi" w:hAnsiTheme="minorBidi"/>
                <w:b/>
                <w:bCs/>
                <w:rtl/>
                <w:lang w:bidi="ar-IQ"/>
              </w:rPr>
              <w:t>16</w:t>
            </w:r>
          </w:p>
        </w:tc>
        <w:tc>
          <w:tcPr>
            <w:tcW w:w="978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2397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2413" w:type="dxa"/>
            <w:vAlign w:val="center"/>
          </w:tcPr>
          <w:p w:rsidR="004F1521" w:rsidRPr="00384B08" w:rsidRDefault="004F1521" w:rsidP="004F152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نموذج الطلب الكلي والعرض الكلي المعاصر</w:t>
            </w:r>
          </w:p>
        </w:tc>
        <w:tc>
          <w:tcPr>
            <w:tcW w:w="1360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615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4F1521" w:rsidRPr="00300731" w:rsidTr="004F1521">
        <w:trPr>
          <w:trHeight w:val="547"/>
        </w:trPr>
        <w:tc>
          <w:tcPr>
            <w:tcW w:w="938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300731">
              <w:rPr>
                <w:rFonts w:asciiTheme="minorBidi" w:hAnsiTheme="minorBidi"/>
                <w:b/>
                <w:bCs/>
                <w:rtl/>
                <w:lang w:bidi="ar-IQ"/>
              </w:rPr>
              <w:t>17</w:t>
            </w:r>
          </w:p>
        </w:tc>
        <w:tc>
          <w:tcPr>
            <w:tcW w:w="978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2397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2413" w:type="dxa"/>
            <w:vAlign w:val="center"/>
          </w:tcPr>
          <w:p w:rsidR="004F1521" w:rsidRPr="00384B08" w:rsidRDefault="004F1521" w:rsidP="004F152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نموذج التوازن </w:t>
            </w:r>
            <w:proofErr w:type="gramStart"/>
            <w:r>
              <w:rPr>
                <w:rFonts w:hint="cs"/>
                <w:b/>
                <w:bCs/>
                <w:rtl/>
              </w:rPr>
              <w:t xml:space="preserve">الكلي  </w:t>
            </w:r>
            <w:r>
              <w:rPr>
                <w:b/>
                <w:bCs/>
              </w:rPr>
              <w:t>IS</w:t>
            </w:r>
            <w:proofErr w:type="gramEnd"/>
            <w:r>
              <w:rPr>
                <w:b/>
                <w:bCs/>
              </w:rPr>
              <w:t>-LM</w:t>
            </w:r>
          </w:p>
        </w:tc>
        <w:tc>
          <w:tcPr>
            <w:tcW w:w="1360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615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4F1521" w:rsidRPr="00300731" w:rsidTr="004F1521">
        <w:trPr>
          <w:trHeight w:val="547"/>
        </w:trPr>
        <w:tc>
          <w:tcPr>
            <w:tcW w:w="938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300731">
              <w:rPr>
                <w:rFonts w:asciiTheme="minorBidi" w:hAnsiTheme="minorBidi"/>
                <w:b/>
                <w:bCs/>
                <w:rtl/>
                <w:lang w:bidi="ar-IQ"/>
              </w:rPr>
              <w:t>18</w:t>
            </w:r>
          </w:p>
        </w:tc>
        <w:tc>
          <w:tcPr>
            <w:tcW w:w="978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2397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2413" w:type="dxa"/>
            <w:vAlign w:val="center"/>
          </w:tcPr>
          <w:p w:rsidR="004F1521" w:rsidRPr="00384B08" w:rsidRDefault="004F1521" w:rsidP="004F152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دراسة منحنى </w:t>
            </w:r>
            <w:proofErr w:type="gramStart"/>
            <w:r>
              <w:rPr>
                <w:b/>
                <w:bCs/>
                <w:lang w:bidi="ar-IQ"/>
              </w:rPr>
              <w:t>IS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 واشتقاقه</w:t>
            </w:r>
            <w:proofErr w:type="gramEnd"/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وخصائصة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 xml:space="preserve"> والعوامل المؤثرة فيه ومحدداته</w:t>
            </w:r>
          </w:p>
        </w:tc>
        <w:tc>
          <w:tcPr>
            <w:tcW w:w="1360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615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4F1521" w:rsidRPr="00300731" w:rsidTr="004F1521">
        <w:trPr>
          <w:trHeight w:val="547"/>
        </w:trPr>
        <w:tc>
          <w:tcPr>
            <w:tcW w:w="938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300731">
              <w:rPr>
                <w:rFonts w:asciiTheme="minorBidi" w:hAnsiTheme="minorBidi"/>
                <w:b/>
                <w:bCs/>
                <w:rtl/>
                <w:lang w:bidi="ar-IQ"/>
              </w:rPr>
              <w:t>19</w:t>
            </w:r>
          </w:p>
        </w:tc>
        <w:tc>
          <w:tcPr>
            <w:tcW w:w="978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2397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2413" w:type="dxa"/>
            <w:vAlign w:val="center"/>
          </w:tcPr>
          <w:p w:rsidR="004F1521" w:rsidRPr="00384B08" w:rsidRDefault="004F1521" w:rsidP="004F152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النقود والطلب على النقود والتوازن في سوق النقد</w:t>
            </w:r>
          </w:p>
        </w:tc>
        <w:tc>
          <w:tcPr>
            <w:tcW w:w="1360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615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4F1521" w:rsidRPr="00300731" w:rsidTr="004F1521">
        <w:trPr>
          <w:trHeight w:val="547"/>
        </w:trPr>
        <w:tc>
          <w:tcPr>
            <w:tcW w:w="938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300731">
              <w:rPr>
                <w:rFonts w:asciiTheme="minorBidi" w:hAnsiTheme="minorBidi"/>
                <w:b/>
                <w:bCs/>
                <w:rtl/>
                <w:lang w:bidi="ar-IQ"/>
              </w:rPr>
              <w:t>20</w:t>
            </w:r>
          </w:p>
        </w:tc>
        <w:tc>
          <w:tcPr>
            <w:tcW w:w="978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2397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2413" w:type="dxa"/>
            <w:vAlign w:val="center"/>
          </w:tcPr>
          <w:p w:rsidR="004F1521" w:rsidRPr="00384B08" w:rsidRDefault="004F1521" w:rsidP="004F152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 xml:space="preserve">دراسة منحنى </w:t>
            </w:r>
            <w:r>
              <w:rPr>
                <w:b/>
                <w:bCs/>
              </w:rPr>
              <w:t xml:space="preserve">LM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اشتقاقة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 xml:space="preserve"> شكله، خصائصه</w:t>
            </w:r>
          </w:p>
        </w:tc>
        <w:tc>
          <w:tcPr>
            <w:tcW w:w="1360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615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4F1521" w:rsidRPr="00300731" w:rsidTr="004F1521">
        <w:trPr>
          <w:trHeight w:val="547"/>
        </w:trPr>
        <w:tc>
          <w:tcPr>
            <w:tcW w:w="938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300731">
              <w:rPr>
                <w:rFonts w:asciiTheme="minorBidi" w:hAnsiTheme="minorBidi"/>
                <w:b/>
                <w:bCs/>
                <w:rtl/>
                <w:lang w:bidi="ar-IQ"/>
              </w:rPr>
              <w:lastRenderedPageBreak/>
              <w:t>21</w:t>
            </w:r>
          </w:p>
        </w:tc>
        <w:tc>
          <w:tcPr>
            <w:tcW w:w="978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2397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2413" w:type="dxa"/>
            <w:vAlign w:val="center"/>
          </w:tcPr>
          <w:p w:rsidR="004F1521" w:rsidRPr="00384B08" w:rsidRDefault="004F1521" w:rsidP="004F152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 xml:space="preserve">امثلة </w:t>
            </w:r>
            <w:proofErr w:type="gramStart"/>
            <w:r>
              <w:rPr>
                <w:rFonts w:hint="cs"/>
                <w:b/>
                <w:bCs/>
                <w:rtl/>
              </w:rPr>
              <w:t>رياضية  عن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(</w:t>
            </w:r>
            <w:r>
              <w:rPr>
                <w:b/>
                <w:bCs/>
              </w:rPr>
              <w:t xml:space="preserve">LM-IS </w:t>
            </w:r>
            <w:r>
              <w:rPr>
                <w:rFonts w:hint="cs"/>
                <w:b/>
                <w:bCs/>
                <w:rtl/>
                <w:lang w:bidi="ar-IQ"/>
              </w:rPr>
              <w:t>)</w:t>
            </w:r>
          </w:p>
        </w:tc>
        <w:tc>
          <w:tcPr>
            <w:tcW w:w="1360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615" w:type="dxa"/>
          </w:tcPr>
          <w:p w:rsidR="004F1521" w:rsidRPr="00300731" w:rsidRDefault="004F1521" w:rsidP="004F152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</w:t>
            </w:r>
            <w:proofErr w:type="gramEnd"/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التحتية</w:t>
            </w:r>
          </w:p>
        </w:tc>
      </w:tr>
      <w:tr w:rsidR="008273E0" w:rsidRPr="00125874" w:rsidTr="00971954">
        <w:trPr>
          <w:trHeight w:val="615"/>
        </w:trPr>
        <w:tc>
          <w:tcPr>
            <w:tcW w:w="3889" w:type="dxa"/>
          </w:tcPr>
          <w:p w:rsidR="008273E0" w:rsidRPr="00125874" w:rsidRDefault="008273E0" w:rsidP="008273E0">
            <w:pPr>
              <w:pStyle w:val="a6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8273E0" w:rsidRPr="00125874" w:rsidRDefault="00985B82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المصادر الجديدة التي تخص ال</w:t>
            </w:r>
            <w:r w:rsidR="008934C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اقتصاد الكلي</w:t>
            </w: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8273E0" w:rsidRDefault="008934C8" w:rsidP="008934C8">
            <w:pPr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 xml:space="preserve">1- O'Sullivan, </w:t>
            </w:r>
            <w:proofErr w:type="spellStart"/>
            <w:r>
              <w:rPr>
                <w:b/>
                <w:bCs/>
                <w:sz w:val="24"/>
                <w:szCs w:val="24"/>
                <w:lang w:val="en-US" w:bidi="ar-IQ"/>
              </w:rPr>
              <w:t>Sheffrin</w:t>
            </w:r>
            <w:proofErr w:type="spellEnd"/>
            <w:r>
              <w:rPr>
                <w:b/>
                <w:bCs/>
                <w:sz w:val="24"/>
                <w:szCs w:val="24"/>
                <w:lang w:val="en-US" w:bidi="ar-IQ"/>
              </w:rPr>
              <w:t>, Perez, Macroeconomics, 7</w:t>
            </w:r>
            <w:r w:rsidRPr="008934C8">
              <w:rPr>
                <w:b/>
                <w:bCs/>
                <w:sz w:val="24"/>
                <w:szCs w:val="24"/>
                <w:vertAlign w:val="superscript"/>
                <w:lang w:val="en-US" w:bidi="ar-IQ"/>
              </w:rPr>
              <w:t>th</w:t>
            </w:r>
            <w:r>
              <w:rPr>
                <w:b/>
                <w:bCs/>
                <w:sz w:val="24"/>
                <w:szCs w:val="24"/>
                <w:lang w:val="en-US" w:bidi="ar-IQ"/>
              </w:rPr>
              <w:t xml:space="preserve"> ed</w:t>
            </w:r>
            <w:proofErr w:type="gramStart"/>
            <w:r>
              <w:rPr>
                <w:b/>
                <w:bCs/>
                <w:sz w:val="24"/>
                <w:szCs w:val="24"/>
                <w:lang w:val="en-US" w:bidi="ar-IQ"/>
              </w:rPr>
              <w:t>..</w:t>
            </w:r>
            <w:proofErr w:type="gramEnd"/>
            <w:r>
              <w:rPr>
                <w:b/>
                <w:bCs/>
                <w:sz w:val="24"/>
                <w:szCs w:val="24"/>
                <w:lang w:val="en-US" w:bidi="ar-IQ"/>
              </w:rPr>
              <w:t>2012</w:t>
            </w:r>
          </w:p>
          <w:p w:rsidR="008934C8" w:rsidRPr="008934C8" w:rsidRDefault="008934C8" w:rsidP="008934C8">
            <w:pPr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 xml:space="preserve">2- </w:t>
            </w:r>
            <w:proofErr w:type="spellStart"/>
            <w:r>
              <w:rPr>
                <w:b/>
                <w:bCs/>
                <w:sz w:val="24"/>
                <w:szCs w:val="24"/>
                <w:lang w:val="en-US" w:bidi="ar-IQ"/>
              </w:rPr>
              <w:t>Mishkin</w:t>
            </w:r>
            <w:proofErr w:type="spellEnd"/>
            <w:r>
              <w:rPr>
                <w:b/>
                <w:bCs/>
                <w:sz w:val="24"/>
                <w:szCs w:val="24"/>
                <w:lang w:val="en-US" w:bidi="ar-IQ"/>
              </w:rPr>
              <w:t>, Macroeconomics, 1</w:t>
            </w:r>
            <w:r w:rsidRPr="008934C8">
              <w:rPr>
                <w:b/>
                <w:bCs/>
                <w:sz w:val="24"/>
                <w:szCs w:val="24"/>
                <w:vertAlign w:val="superscript"/>
                <w:lang w:val="en-US" w:bidi="ar-IQ"/>
              </w:rPr>
              <w:t>st</w:t>
            </w:r>
            <w:r>
              <w:rPr>
                <w:b/>
                <w:bCs/>
                <w:sz w:val="24"/>
                <w:szCs w:val="24"/>
                <w:lang w:val="en-US" w:bidi="ar-IQ"/>
              </w:rPr>
              <w:t xml:space="preserve"> ed</w:t>
            </w:r>
            <w:proofErr w:type="gramStart"/>
            <w:r>
              <w:rPr>
                <w:b/>
                <w:bCs/>
                <w:sz w:val="24"/>
                <w:szCs w:val="24"/>
                <w:lang w:val="en-US" w:bidi="ar-IQ"/>
              </w:rPr>
              <w:t>..</w:t>
            </w:r>
            <w:proofErr w:type="gramEnd"/>
            <w:r>
              <w:rPr>
                <w:b/>
                <w:bCs/>
                <w:sz w:val="24"/>
                <w:szCs w:val="24"/>
                <w:lang w:val="en-US" w:bidi="ar-IQ"/>
              </w:rPr>
              <w:t>2012</w:t>
            </w: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8273E0">
            <w:pPr>
              <w:pStyle w:val="a6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الكتب والمراجع التي يوصي بيها (المجلات </w:t>
            </w:r>
            <w:proofErr w:type="spellStart"/>
            <w:proofErr w:type="gramStart"/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العلمية،التقارير</w:t>
            </w:r>
            <w:proofErr w:type="spellEnd"/>
            <w:proofErr w:type="gramEnd"/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،......)</w:t>
            </w:r>
          </w:p>
        </w:tc>
        <w:tc>
          <w:tcPr>
            <w:tcW w:w="5369" w:type="dxa"/>
          </w:tcPr>
          <w:p w:rsidR="008273E0" w:rsidRPr="00125874" w:rsidRDefault="008934C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الاصدارات الحديثة التي تتعلق بالاقتصاد الكلي ومتغيراته وتوازناته</w:t>
            </w:r>
          </w:p>
        </w:tc>
      </w:tr>
      <w:tr w:rsidR="008273E0" w:rsidRPr="00125874" w:rsidTr="00971954">
        <w:trPr>
          <w:trHeight w:val="692"/>
        </w:trPr>
        <w:tc>
          <w:tcPr>
            <w:tcW w:w="3889" w:type="dxa"/>
          </w:tcPr>
          <w:p w:rsidR="008273E0" w:rsidRPr="00125874" w:rsidRDefault="008273E0" w:rsidP="008273E0">
            <w:pPr>
              <w:pStyle w:val="a6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المراجع </w:t>
            </w:r>
            <w:proofErr w:type="spellStart"/>
            <w:proofErr w:type="gramStart"/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الالكترونية،مواقع</w:t>
            </w:r>
            <w:proofErr w:type="spellEnd"/>
            <w:proofErr w:type="gramEnd"/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الانترنيت.....</w:t>
            </w:r>
          </w:p>
        </w:tc>
        <w:tc>
          <w:tcPr>
            <w:tcW w:w="5369" w:type="dxa"/>
          </w:tcPr>
          <w:p w:rsidR="00D275A9" w:rsidRDefault="008934C8" w:rsidP="008934C8">
            <w:pPr>
              <w:bidi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 xml:space="preserve"> </w:t>
            </w:r>
          </w:p>
          <w:p w:rsidR="00D275A9" w:rsidRDefault="00D275A9" w:rsidP="00D275A9">
            <w:pPr>
              <w:bidi/>
              <w:jc w:val="right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D275A9" w:rsidRDefault="00D275A9" w:rsidP="00D275A9">
            <w:pPr>
              <w:bidi/>
              <w:jc w:val="center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985B82" w:rsidRPr="00985B82" w:rsidRDefault="00985B82" w:rsidP="00985B82">
            <w:pPr>
              <w:bidi/>
              <w:jc w:val="right"/>
              <w:rPr>
                <w:b/>
                <w:bCs/>
                <w:sz w:val="24"/>
                <w:szCs w:val="24"/>
                <w:lang w:val="en-US"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</w:t>
            </w:r>
            <w:proofErr w:type="gramEnd"/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125874" w:rsidRDefault="00985B82" w:rsidP="008934C8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لتطوير المقرر الدراسي وضرورة ربط مفردات المناهج بواقع الاقتصاد العراقي وسوق العمل بما يحقق الاستفادة المثلى من المفردات العلمية لهذه المادة في تخريج ملاك وظيفي يستطيع ان يستوعب </w:t>
            </w:r>
            <w:r w:rsidR="008934C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متغيرات الاقتصاد الكلي.</w:t>
            </w: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FE2" w:rsidRDefault="009F1FE2" w:rsidP="00CA735C">
      <w:pPr>
        <w:spacing w:after="0" w:line="240" w:lineRule="auto"/>
      </w:pPr>
      <w:r>
        <w:separator/>
      </w:r>
    </w:p>
  </w:endnote>
  <w:endnote w:type="continuationSeparator" w:id="0">
    <w:p w:rsidR="009F1FE2" w:rsidRDefault="009F1FE2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35C" w:rsidRDefault="009F1FE2" w:rsidP="00CA735C">
    <w:pPr>
      <w:pStyle w:val="a5"/>
      <w:jc w:val="center"/>
      <w:rPr>
        <w:lang w:bidi="ar-IQ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11.25pt;margin-top:8.7pt;width:207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</w:pict>
    </w:r>
    <w:r>
      <w:rPr>
        <w:noProof/>
        <w:lang w:val="en-US"/>
      </w:rPr>
      <w:pict>
        <v:shape id="AutoShape 1" o:spid="_x0000_s2049" type="#_x0000_t32" style="position:absolute;left:0;text-align:left;margin-left:254.25pt;margin-top:8.7pt;width:207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</w:pic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FE2" w:rsidRDefault="009F1FE2" w:rsidP="00CA735C">
      <w:pPr>
        <w:spacing w:after="0" w:line="240" w:lineRule="auto"/>
      </w:pPr>
      <w:r>
        <w:separator/>
      </w:r>
    </w:p>
  </w:footnote>
  <w:footnote w:type="continuationSeparator" w:id="0">
    <w:p w:rsidR="009F1FE2" w:rsidRDefault="009F1FE2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22E38"/>
    <w:rsid w:val="00125874"/>
    <w:rsid w:val="0013598D"/>
    <w:rsid w:val="0029324A"/>
    <w:rsid w:val="002E1B77"/>
    <w:rsid w:val="002E5343"/>
    <w:rsid w:val="00300731"/>
    <w:rsid w:val="0030691E"/>
    <w:rsid w:val="00337D6F"/>
    <w:rsid w:val="00342224"/>
    <w:rsid w:val="00367C20"/>
    <w:rsid w:val="003E5E6B"/>
    <w:rsid w:val="00451536"/>
    <w:rsid w:val="004F1521"/>
    <w:rsid w:val="004F5E75"/>
    <w:rsid w:val="00542B55"/>
    <w:rsid w:val="00544C85"/>
    <w:rsid w:val="005D6AED"/>
    <w:rsid w:val="00640052"/>
    <w:rsid w:val="006510AC"/>
    <w:rsid w:val="00671845"/>
    <w:rsid w:val="0072096C"/>
    <w:rsid w:val="00773A88"/>
    <w:rsid w:val="007C0C0D"/>
    <w:rsid w:val="007E0ABC"/>
    <w:rsid w:val="008273E0"/>
    <w:rsid w:val="00841B14"/>
    <w:rsid w:val="00847C41"/>
    <w:rsid w:val="00874013"/>
    <w:rsid w:val="008934C8"/>
    <w:rsid w:val="008B21DB"/>
    <w:rsid w:val="00985B82"/>
    <w:rsid w:val="00985E46"/>
    <w:rsid w:val="009F1FE2"/>
    <w:rsid w:val="00A44B6A"/>
    <w:rsid w:val="00AB7F20"/>
    <w:rsid w:val="00B03952"/>
    <w:rsid w:val="00B17AD2"/>
    <w:rsid w:val="00B71CFF"/>
    <w:rsid w:val="00BB3C1C"/>
    <w:rsid w:val="00CA735C"/>
    <w:rsid w:val="00D027B3"/>
    <w:rsid w:val="00D275A9"/>
    <w:rsid w:val="00DA4F42"/>
    <w:rsid w:val="00E246F5"/>
    <w:rsid w:val="00F41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C6F688B4-55AB-4360-9D0E-9DDF4A0B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CA735C"/>
  </w:style>
  <w:style w:type="paragraph" w:styleId="a5">
    <w:name w:val="footer"/>
    <w:basedOn w:val="a"/>
    <w:link w:val="Char0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CA735C"/>
  </w:style>
  <w:style w:type="paragraph" w:styleId="a6">
    <w:name w:val="List Paragraph"/>
    <w:basedOn w:val="a"/>
    <w:uiPriority w:val="34"/>
    <w:qFormat/>
    <w:rsid w:val="0013598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275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481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dalia</cp:lastModifiedBy>
  <cp:revision>7</cp:revision>
  <dcterms:created xsi:type="dcterms:W3CDTF">2018-06-02T18:18:00Z</dcterms:created>
  <dcterms:modified xsi:type="dcterms:W3CDTF">2021-09-06T06:10:00Z</dcterms:modified>
</cp:coreProperties>
</file>