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F546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AB792" wp14:editId="5E312DEF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C5" w:rsidRPr="0013598D" w:rsidRDefault="000254C5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0254C5" w:rsidRPr="0013598D" w:rsidRDefault="000254C5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713"/>
        <w:gridCol w:w="5303"/>
      </w:tblGrid>
      <w:tr w:rsidR="00854347" w:rsidTr="00C51AEA">
        <w:trPr>
          <w:trHeight w:val="455"/>
        </w:trPr>
        <w:tc>
          <w:tcPr>
            <w:tcW w:w="3713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303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C51AEA">
        <w:trPr>
          <w:trHeight w:val="465"/>
        </w:trPr>
        <w:tc>
          <w:tcPr>
            <w:tcW w:w="3713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303" w:type="dxa"/>
          </w:tcPr>
          <w:p w:rsidR="00854347" w:rsidRPr="00DE4E0D" w:rsidRDefault="00E2362D" w:rsidP="00E2362D">
            <w:pPr>
              <w:bidi/>
              <w:rPr>
                <w:color w:val="FF0000"/>
                <w:sz w:val="28"/>
                <w:szCs w:val="28"/>
                <w:lang w:bidi="ar-IQ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                        قسم الاقتصاد </w:t>
            </w:r>
          </w:p>
        </w:tc>
      </w:tr>
      <w:tr w:rsidR="00CA735C" w:rsidTr="00C51AEA">
        <w:trPr>
          <w:trHeight w:val="462"/>
        </w:trPr>
        <w:tc>
          <w:tcPr>
            <w:tcW w:w="371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303" w:type="dxa"/>
          </w:tcPr>
          <w:p w:rsidR="00CA735C" w:rsidRPr="0013598D" w:rsidRDefault="00E05158" w:rsidP="00C51AE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مدخل محاسبة 1</w:t>
            </w:r>
          </w:p>
        </w:tc>
      </w:tr>
      <w:tr w:rsidR="00CA735C" w:rsidTr="00C51AEA">
        <w:trPr>
          <w:trHeight w:val="462"/>
        </w:trPr>
        <w:tc>
          <w:tcPr>
            <w:tcW w:w="371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C51AEA">
        <w:trPr>
          <w:trHeight w:val="462"/>
        </w:trPr>
        <w:tc>
          <w:tcPr>
            <w:tcW w:w="371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303" w:type="dxa"/>
          </w:tcPr>
          <w:p w:rsidR="00CA735C" w:rsidRPr="0013598D" w:rsidRDefault="00E2362D" w:rsidP="00E2362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كورس اول</w:t>
            </w:r>
          </w:p>
        </w:tc>
      </w:tr>
      <w:tr w:rsidR="00CA735C" w:rsidTr="00C51AEA">
        <w:trPr>
          <w:trHeight w:val="462"/>
        </w:trPr>
        <w:tc>
          <w:tcPr>
            <w:tcW w:w="371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03" w:type="dxa"/>
          </w:tcPr>
          <w:p w:rsidR="00CA735C" w:rsidRPr="0013598D" w:rsidRDefault="00B05BE9" w:rsidP="00B05BE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٣٠</w:t>
            </w:r>
          </w:p>
        </w:tc>
      </w:tr>
      <w:tr w:rsidR="00CA735C" w:rsidTr="00C51AEA">
        <w:trPr>
          <w:trHeight w:val="462"/>
        </w:trPr>
        <w:tc>
          <w:tcPr>
            <w:tcW w:w="371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B05BE9">
              <w:rPr>
                <w:rFonts w:hint="cs"/>
                <w:sz w:val="28"/>
                <w:szCs w:val="28"/>
                <w:rtl/>
                <w:lang w:bidi="ar-IQ"/>
              </w:rPr>
              <w:t>٢٠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E05158" w:rsidTr="000254C5">
        <w:trPr>
          <w:trHeight w:val="4175"/>
        </w:trPr>
        <w:tc>
          <w:tcPr>
            <w:tcW w:w="9016" w:type="dxa"/>
            <w:gridSpan w:val="2"/>
          </w:tcPr>
          <w:p w:rsidR="00E05158" w:rsidRPr="00B33073" w:rsidRDefault="007A78BF" w:rsidP="007A78BF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تعليم الطلبة </w:t>
            </w:r>
            <w:r w:rsidR="00E05158" w:rsidRPr="00B33073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أساسيات المحاسبة المالية وكيفية تسجيل التعاملات المالية في سجل اليومية العامة ومن ثم ترحيلها الى سجل الاستاذ وترصيدها وبعدها إعداد ميزان المراجعة واجراء قيود التسوية وتصحيح الاخطاء </w:t>
            </w:r>
            <w:proofErr w:type="spellStart"/>
            <w:r w:rsidR="00E05158" w:rsidRPr="00B33073">
              <w:rPr>
                <w:rFonts w:cs="Simplified Arabic" w:hint="cs"/>
                <w:sz w:val="28"/>
                <w:szCs w:val="28"/>
                <w:rtl/>
                <w:lang w:bidi="ar-IQ"/>
              </w:rPr>
              <w:t>لاعداد</w:t>
            </w:r>
            <w:proofErr w:type="spellEnd"/>
            <w:r w:rsidR="00E05158" w:rsidRPr="00B33073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ميزان المراجعة المعدل واخيراً تسجيل قيود الغلق لإعداد الحسابات الختامية في نهاية الفترة المالية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DA7" w:rsidTr="000254C5">
        <w:trPr>
          <w:trHeight w:val="516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0254C5">
        <w:trPr>
          <w:trHeight w:val="915"/>
        </w:trPr>
        <w:tc>
          <w:tcPr>
            <w:tcW w:w="9212" w:type="dxa"/>
          </w:tcPr>
          <w:p w:rsidR="00412DA7" w:rsidRDefault="00412DA7" w:rsidP="000254C5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B33073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E3006">
              <w:rPr>
                <w:rFonts w:hint="cs"/>
                <w:rtl/>
              </w:rPr>
              <w:t xml:space="preserve"> </w:t>
            </w:r>
            <w:r w:rsidR="00B33073">
              <w:rPr>
                <w:rFonts w:hint="cs"/>
                <w:rtl/>
              </w:rPr>
              <w:t xml:space="preserve">تدريس الطالب نظم المحاسبة المالية </w:t>
            </w:r>
            <w:r w:rsidR="00CF4B53" w:rsidRPr="00CF4B53">
              <w:rPr>
                <w:rFonts w:hint="cs"/>
                <w:rtl/>
              </w:rPr>
              <w:t xml:space="preserve">التي تزود الإدارة </w:t>
            </w:r>
            <w:r w:rsidR="00B33073">
              <w:rPr>
                <w:rFonts w:hint="cs"/>
                <w:rtl/>
              </w:rPr>
              <w:t xml:space="preserve">والجهات الخارجية </w:t>
            </w:r>
            <w:r w:rsidR="00CF4B53" w:rsidRPr="00CF4B53">
              <w:rPr>
                <w:rFonts w:hint="cs"/>
                <w:rtl/>
              </w:rPr>
              <w:t xml:space="preserve">بالمعلومات الملائمة التي تمكنها من </w:t>
            </w:r>
            <w:r w:rsidR="00B33073">
              <w:rPr>
                <w:rFonts w:hint="cs"/>
                <w:rtl/>
              </w:rPr>
              <w:t xml:space="preserve">اتخاذ </w:t>
            </w:r>
            <w:proofErr w:type="spellStart"/>
            <w:r w:rsidR="00B33073">
              <w:rPr>
                <w:rFonts w:hint="cs"/>
                <w:rtl/>
              </w:rPr>
              <w:t>القرارت</w:t>
            </w:r>
            <w:proofErr w:type="spellEnd"/>
            <w:r w:rsidR="00B33073">
              <w:rPr>
                <w:rFonts w:hint="cs"/>
                <w:rtl/>
              </w:rPr>
              <w:t xml:space="preserve"> الملائمة</w:t>
            </w:r>
            <w:r w:rsidR="00CF4B53" w:rsidRPr="00CF4B53">
              <w:rPr>
                <w:rFonts w:hint="cs"/>
                <w:rtl/>
              </w:rPr>
              <w:t>.</w:t>
            </w:r>
          </w:p>
          <w:p w:rsidR="007A78BF" w:rsidRDefault="00412DA7" w:rsidP="007A78BF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7A78BF">
              <w:rPr>
                <w:rFonts w:hint="cs"/>
                <w:rtl/>
              </w:rPr>
              <w:t xml:space="preserve"> تدريس الطالب </w:t>
            </w:r>
            <w:r w:rsidR="007A78BF" w:rsidRPr="007A78BF">
              <w:rPr>
                <w:rFonts w:hint="cs"/>
                <w:rtl/>
              </w:rPr>
              <w:t>أساسيات المحاسبة المالية وكيفية تسجيل التعاملات المالية في سجل اليومية</w:t>
            </w:r>
            <w:r w:rsidR="00013C8F" w:rsidRPr="007A78BF">
              <w:rPr>
                <w:rFonts w:hint="cs"/>
                <w:rtl/>
              </w:rPr>
              <w:t xml:space="preserve"> العامة ومن ثم ترحيلها الى سجل الاستاذ وترصيدها</w:t>
            </w:r>
          </w:p>
          <w:p w:rsidR="00412DA7" w:rsidRDefault="007A78BF" w:rsidP="00013C8F">
            <w:pPr>
              <w:pStyle w:val="a6"/>
              <w:bidi/>
              <w:rPr>
                <w:rtl/>
              </w:rPr>
            </w:pPr>
            <w:r w:rsidRPr="007A78BF">
              <w:rPr>
                <w:rFonts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أ3-</w:t>
            </w:r>
            <w:r w:rsidRPr="007A78BF">
              <w:rPr>
                <w:rFonts w:hint="cs"/>
                <w:rtl/>
              </w:rPr>
              <w:t xml:space="preserve"> </w:t>
            </w:r>
            <w:r w:rsidR="00013C8F">
              <w:rPr>
                <w:rFonts w:hint="cs"/>
                <w:rtl/>
              </w:rPr>
              <w:t xml:space="preserve">تدريس الطالب </w:t>
            </w:r>
            <w:r w:rsidRPr="007A78BF">
              <w:rPr>
                <w:rFonts w:hint="cs"/>
                <w:rtl/>
              </w:rPr>
              <w:t xml:space="preserve">إعداد ميزان المراجعة واجراء قيود التسوية وتصحيح الاخطاء </w:t>
            </w:r>
            <w:proofErr w:type="spellStart"/>
            <w:r w:rsidRPr="007A78BF">
              <w:rPr>
                <w:rFonts w:hint="cs"/>
                <w:rtl/>
              </w:rPr>
              <w:t>لاعداد</w:t>
            </w:r>
            <w:proofErr w:type="spellEnd"/>
            <w:r w:rsidRPr="007A78BF">
              <w:rPr>
                <w:rFonts w:hint="cs"/>
                <w:rtl/>
              </w:rPr>
              <w:t xml:space="preserve"> ميزان المراجعة المعدل واخيراً تسجيل قيود الغلق لإعداد الحسابات الختامية في نهاية الفترة المالية</w:t>
            </w:r>
          </w:p>
          <w:p w:rsidR="007A78BF" w:rsidRDefault="00412DA7" w:rsidP="007A78BF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  <w:r w:rsidR="007A78BF" w:rsidRPr="007A78BF">
              <w:rPr>
                <w:rFonts w:hint="cs"/>
                <w:rtl/>
              </w:rPr>
              <w:t xml:space="preserve"> </w:t>
            </w:r>
          </w:p>
          <w:p w:rsidR="00412DA7" w:rsidRDefault="00412DA7" w:rsidP="000254C5">
            <w:pPr>
              <w:pStyle w:val="a6"/>
              <w:bidi/>
              <w:rPr>
                <w:rtl/>
              </w:rPr>
            </w:pPr>
          </w:p>
          <w:p w:rsidR="00412DA7" w:rsidRDefault="00412DA7" w:rsidP="000254C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0254C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0254C5">
        <w:trPr>
          <w:trHeight w:val="972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ب- الاهداف </w:t>
            </w:r>
            <w:proofErr w:type="spellStart"/>
            <w:r>
              <w:rPr>
                <w:rFonts w:hint="cs"/>
                <w:rtl/>
              </w:rPr>
              <w:t>المهاراتية</w:t>
            </w:r>
            <w:proofErr w:type="spellEnd"/>
            <w:r>
              <w:rPr>
                <w:rFonts w:hint="cs"/>
                <w:rtl/>
              </w:rPr>
              <w:t xml:space="preserve"> الخاصة بالمقرر</w:t>
            </w:r>
          </w:p>
          <w:p w:rsidR="00412DA7" w:rsidRPr="00CF4B53" w:rsidRDefault="00412DA7" w:rsidP="001D757D">
            <w:pPr>
              <w:bidi/>
              <w:rPr>
                <w:rtl/>
              </w:rPr>
            </w:pPr>
            <w:r w:rsidRPr="00CF4B53">
              <w:rPr>
                <w:rFonts w:hint="cs"/>
                <w:rtl/>
              </w:rPr>
              <w:t xml:space="preserve">ب1- </w:t>
            </w:r>
            <w:r w:rsidR="00CF4B53" w:rsidRPr="00CF4B53">
              <w:rPr>
                <w:rFonts w:hint="cs"/>
                <w:rtl/>
              </w:rPr>
              <w:t xml:space="preserve">تدريس الطالب </w:t>
            </w:r>
            <w:r w:rsidR="00013C8F" w:rsidRPr="00013C8F">
              <w:rPr>
                <w:rFonts w:hint="cs"/>
                <w:rtl/>
              </w:rPr>
              <w:t xml:space="preserve">المحاسبة المالية </w:t>
            </w:r>
            <w:r w:rsidR="00CF4B53" w:rsidRPr="00CF4B53">
              <w:rPr>
                <w:rFonts w:hint="cs"/>
                <w:rtl/>
              </w:rPr>
              <w:t xml:space="preserve">التي تزود </w:t>
            </w:r>
            <w:r w:rsidR="001D757D">
              <w:rPr>
                <w:rFonts w:hint="cs"/>
                <w:rtl/>
              </w:rPr>
              <w:t>الاطراف المختلفة</w:t>
            </w:r>
            <w:r w:rsidR="00CF4B53" w:rsidRPr="00CF4B53">
              <w:rPr>
                <w:rFonts w:hint="cs"/>
                <w:rtl/>
              </w:rPr>
              <w:t xml:space="preserve"> بالمعلومات الملائمة التي تمكنها </w:t>
            </w:r>
            <w:r w:rsidR="001D757D">
              <w:rPr>
                <w:rFonts w:hint="cs"/>
                <w:rtl/>
              </w:rPr>
              <w:t>اتخاذ القرارات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AE3006">
        <w:trPr>
          <w:trHeight w:val="305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0254C5">
        <w:trPr>
          <w:trHeight w:val="1396"/>
        </w:trPr>
        <w:tc>
          <w:tcPr>
            <w:tcW w:w="9212" w:type="dxa"/>
          </w:tcPr>
          <w:p w:rsidR="00412DA7" w:rsidRDefault="00AE3006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AE3006" w:rsidRDefault="00AE3006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50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254C5">
        <w:trPr>
          <w:trHeight w:val="1283"/>
        </w:trPr>
        <w:tc>
          <w:tcPr>
            <w:tcW w:w="9212" w:type="dxa"/>
          </w:tcPr>
          <w:p w:rsidR="00412DA7" w:rsidRDefault="00AE3006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  <w:tr w:rsidR="00412DA7" w:rsidTr="000254C5">
        <w:trPr>
          <w:trHeight w:val="972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E3006">
              <w:rPr>
                <w:rFonts w:hint="cs"/>
                <w:rtl/>
              </w:rPr>
              <w:t xml:space="preserve"> اكتساب مهارات في كيفية </w:t>
            </w:r>
            <w:proofErr w:type="spellStart"/>
            <w:r w:rsidR="00AE3006">
              <w:rPr>
                <w:rFonts w:hint="cs"/>
                <w:rtl/>
              </w:rPr>
              <w:t>الايفادة</w:t>
            </w:r>
            <w:proofErr w:type="spellEnd"/>
            <w:r w:rsidR="00AE3006">
              <w:rPr>
                <w:rFonts w:hint="cs"/>
                <w:rtl/>
              </w:rPr>
              <w:t xml:space="preserve"> من المادة العلمية من اجل تحقيق النفع العام والخاص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08350B">
        <w:trPr>
          <w:trHeight w:val="305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0254C5">
        <w:trPr>
          <w:trHeight w:val="1257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412DA7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32"/>
        </w:trPr>
        <w:tc>
          <w:tcPr>
            <w:tcW w:w="9212" w:type="dxa"/>
          </w:tcPr>
          <w:p w:rsidR="00412DA7" w:rsidRDefault="00412DA7" w:rsidP="000254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8350B">
        <w:trPr>
          <w:trHeight w:val="1385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412DA7" w:rsidRDefault="0008350B" w:rsidP="000835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7B4D05" w:rsidRDefault="007B4D05" w:rsidP="007B4D05">
      <w:pPr>
        <w:bidi/>
        <w:rPr>
          <w:rtl/>
          <w:lang w:bidi="ar-IQ"/>
        </w:rPr>
      </w:pPr>
    </w:p>
    <w:p w:rsidR="00412DA7" w:rsidRDefault="004C6A23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27F" wp14:editId="7177B201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5857875" cy="1600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C5" w:rsidRDefault="000254C5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والتأهيلية المنقولة (المهارات الاخرى المتعلقة بقابلية التوظيف والتطور الشخصي)</w:t>
                            </w:r>
                          </w:p>
                          <w:p w:rsidR="000254C5" w:rsidRDefault="000254C5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اكتساب مهارات في كيفية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الإيفادة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من المادة العلمية من اجل تحقيق النفع العام والخاص</w:t>
                            </w:r>
                          </w:p>
                          <w:p w:rsidR="000254C5" w:rsidRDefault="000254C5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0254C5" w:rsidRPr="007B4D05" w:rsidRDefault="000254C5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0254C5" w:rsidRDefault="000254C5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0254C5" w:rsidRDefault="000254C5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027F" id="Text Box 4" o:spid="_x0000_s1027" type="#_x0000_t202" style="position:absolute;left:0;text-align:left;margin-left:-11.25pt;margin-top:-12.75pt;width:4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QNLQIAAFgEAAAOAAAAZHJzL2Uyb0RvYy54bWysVNuO0zAQfUfiHyy/06RVs+1GTVdLlyKk&#10;5SLt8gGO4yQWjsfYbpPy9YydbImAJ0QeLI9nfDxzzkx2d0OnyFlYJ0EXdLlIKRGaQyV1U9Cvz8c3&#10;W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">
                <v:textbox>
                  <w:txbxContent>
                    <w:p w:rsidR="000254C5" w:rsidRDefault="000254C5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والتأهيلية المنقولة (المهارات الاخرى المتعلقة بقابلية التوظيف والتطور الشخصي)</w:t>
                      </w:r>
                    </w:p>
                    <w:p w:rsidR="000254C5" w:rsidRDefault="000254C5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>
                        <w:rPr>
                          <w:rFonts w:hint="cs"/>
                          <w:rtl/>
                        </w:rPr>
                        <w:t>اكتساب مهارات في كيفية الإيفادة من المادة العلمية من اجل تحقيق النفع العام والخاص</w:t>
                      </w:r>
                    </w:p>
                    <w:p w:rsidR="000254C5" w:rsidRDefault="000254C5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0254C5" w:rsidRPr="007B4D05" w:rsidRDefault="000254C5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0254C5" w:rsidRDefault="000254C5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0254C5" w:rsidRDefault="000254C5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98"/>
        <w:gridCol w:w="2730"/>
        <w:gridCol w:w="2021"/>
        <w:gridCol w:w="1350"/>
        <w:gridCol w:w="1350"/>
      </w:tblGrid>
      <w:tr w:rsidR="00FC38A3" w:rsidRPr="00D1202B" w:rsidTr="00A7265F">
        <w:trPr>
          <w:jc w:val="center"/>
        </w:trPr>
        <w:tc>
          <w:tcPr>
            <w:tcW w:w="9016" w:type="dxa"/>
            <w:gridSpan w:val="6"/>
          </w:tcPr>
          <w:p w:rsidR="00FC38A3" w:rsidRDefault="00FC38A3" w:rsidP="00FC38A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مخرجات التعلم </w:t>
            </w:r>
            <w:r w:rsidRPr="00D1202B">
              <w:rPr>
                <w:rFonts w:hint="cs"/>
                <w:color w:val="FF0000"/>
                <w:rtl/>
                <w:lang w:bidi="ar-IQ"/>
              </w:rPr>
              <w:t>المطلوبة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1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مفهوم 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المحاسبة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مدخل في المحاسبة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 المالية</w:t>
            </w:r>
          </w:p>
        </w:tc>
        <w:tc>
          <w:tcPr>
            <w:tcW w:w="1350" w:type="dxa"/>
          </w:tcPr>
          <w:p w:rsidR="00FC38A3" w:rsidRPr="00D1202B" w:rsidRDefault="002E3127" w:rsidP="00FC38A3">
            <w:pPr>
              <w:bidi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المنصه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الالكترونيه</w:t>
            </w:r>
            <w:proofErr w:type="spellEnd"/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تعريف المحاسبة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أهداف المحاسبة المالية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حقول المحاسبة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الجهات المستفيدة من المحاسبة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الدورة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الفروض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 والمفاهيم والمبادئ والمحددات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4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أولاً: الفروض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ثانياً : المفاهيم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ثالثاً: المبادئ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tl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رابعاً: القيود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tl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عناصر الكشوفات المالية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6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tl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الأشكال القانونية للمشاريع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عناصر النظام المحاسبي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7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tl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أسئلة الفصل الأول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تحليل العمليات المالية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أسس تحليل العمليات المالية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أولاً: 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نظرية القيد المفرد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ثانياً: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 نظرية القيد المزدوج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أنواع القيود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طريقة الميزانية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8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تأثير معادلة الميزانية على القيد المزدوج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9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السجلات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 المحاسبية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756B5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ميزان المراجعة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lastRenderedPageBreak/>
              <w:t>10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محددات ميزان المراجعة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أسئلة 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وتمارين 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الفصل 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الثاني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t>11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العمليات المتعلقة برأس المال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العمليات الرأسمالية والتمويلية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t>12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أولا: العمليات المتعلقة بتكوين برأس المال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tabs>
                <w:tab w:val="right" w:pos="41"/>
                <w:tab w:val="center" w:pos="3733"/>
                <w:tab w:val="left" w:pos="4787"/>
              </w:tabs>
              <w:bidi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ثانياً: العمليات المتعلقة بزيادة رأس المال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t>13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ثالثاً: العمليات المتعلقة بتخفيض رأس المال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9071DC" w:rsidRPr="00D1202B" w:rsidRDefault="009071DC" w:rsidP="009071DC">
            <w:pPr>
              <w:bidi/>
              <w:rPr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المسحوبات الشخصية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t>14</w:t>
            </w:r>
          </w:p>
        </w:tc>
        <w:tc>
          <w:tcPr>
            <w:tcW w:w="0" w:type="auto"/>
          </w:tcPr>
          <w:p w:rsidR="00FC38A3" w:rsidRPr="00D1202B" w:rsidRDefault="00B05BE9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>العمليات التمويلية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</w:p>
        </w:tc>
        <w:tc>
          <w:tcPr>
            <w:tcW w:w="0" w:type="auto"/>
          </w:tcPr>
          <w:p w:rsidR="00FC38A3" w:rsidRPr="00D1202B" w:rsidRDefault="0062077A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حالات تسجيل القروض وفوائده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FC38A3" w:rsidRPr="00D1202B" w:rsidTr="00D1202B">
        <w:trPr>
          <w:jc w:val="center"/>
        </w:trPr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Cambria" w:hAnsi="Cambria" w:cs="Simplified Arabic"/>
                <w:rtl/>
              </w:rPr>
            </w:pPr>
            <w:r>
              <w:rPr>
                <w:rFonts w:ascii="Cambria" w:hAnsi="Cambria" w:cs="Simplified Arabic" w:hint="cs"/>
                <w:rtl/>
              </w:rPr>
              <w:t>15</w:t>
            </w:r>
          </w:p>
        </w:tc>
        <w:tc>
          <w:tcPr>
            <w:tcW w:w="0" w:type="auto"/>
          </w:tcPr>
          <w:p w:rsidR="00FC38A3" w:rsidRPr="00D1202B" w:rsidRDefault="0062077A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٢</w:t>
            </w:r>
          </w:p>
        </w:tc>
        <w:tc>
          <w:tcPr>
            <w:tcW w:w="0" w:type="auto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أسئلة 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 xml:space="preserve">وتمارين </w:t>
            </w:r>
            <w:r w:rsidRPr="00D1202B">
              <w:rPr>
                <w:rFonts w:ascii="Simplified Arabic" w:eastAsia="Times New Roman" w:hAnsi="Simplified Arabic" w:cs="Simplified Arabic"/>
                <w:rtl/>
                <w:lang w:bidi="ar-IQ"/>
              </w:rPr>
              <w:t xml:space="preserve">الفصل </w:t>
            </w:r>
            <w:r w:rsidRPr="00D1202B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الثالث</w:t>
            </w:r>
          </w:p>
        </w:tc>
        <w:tc>
          <w:tcPr>
            <w:tcW w:w="2021" w:type="dxa"/>
          </w:tcPr>
          <w:p w:rsidR="00FC38A3" w:rsidRPr="00D1202B" w:rsidRDefault="00FC38A3" w:rsidP="00FC38A3">
            <w:pPr>
              <w:jc w:val="right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FC38A3" w:rsidRPr="00D1202B" w:rsidRDefault="00FC38A3" w:rsidP="00FC38A3">
            <w:pPr>
              <w:bidi/>
              <w:rPr>
                <w:rtl/>
                <w:lang w:bidi="ar-IQ"/>
              </w:rPr>
            </w:pPr>
            <w:r w:rsidRPr="00D1202B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</w:tbl>
    <w:p w:rsidR="00AA4A87" w:rsidRDefault="00AA4A87">
      <w:pPr>
        <w:bidi/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0254C5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08350B">
        <w:trPr>
          <w:trHeight w:val="350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Pr="00CF4B53" w:rsidRDefault="00DE4E0D" w:rsidP="00DE4E0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العاني، صفاء احمد والساعدي، حكيم حمود.(20</w:t>
            </w:r>
            <w:r w:rsidR="0062077A">
              <w:rPr>
                <w:rFonts w:hint="cs"/>
                <w:rtl/>
                <w:lang w:bidi="ar-IQ"/>
              </w:rPr>
              <w:t>٢٠</w:t>
            </w:r>
            <w:r>
              <w:rPr>
                <w:rFonts w:hint="cs"/>
                <w:rtl/>
                <w:lang w:bidi="ar-IQ"/>
              </w:rPr>
              <w:t>). مبادئ المحاسبة المالية.</w:t>
            </w:r>
          </w:p>
        </w:tc>
      </w:tr>
      <w:tr w:rsidR="00412DA7" w:rsidTr="0008350B">
        <w:trPr>
          <w:trHeight w:val="350"/>
        </w:trPr>
        <w:tc>
          <w:tcPr>
            <w:tcW w:w="3889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(المصادر)</w:t>
            </w:r>
          </w:p>
        </w:tc>
        <w:tc>
          <w:tcPr>
            <w:tcW w:w="5369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</w:p>
        </w:tc>
      </w:tr>
      <w:tr w:rsidR="00412DA7" w:rsidTr="0008350B">
        <w:trPr>
          <w:trHeight w:val="530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التقارير،......)</w:t>
            </w:r>
          </w:p>
        </w:tc>
        <w:tc>
          <w:tcPr>
            <w:tcW w:w="5369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</w:p>
        </w:tc>
      </w:tr>
      <w:tr w:rsidR="00412DA7" w:rsidTr="0008350B">
        <w:trPr>
          <w:trHeight w:val="260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مواقع الانترنيت.....</w:t>
            </w:r>
          </w:p>
        </w:tc>
        <w:tc>
          <w:tcPr>
            <w:tcW w:w="5369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08350B">
        <w:trPr>
          <w:trHeight w:val="350"/>
        </w:trPr>
        <w:tc>
          <w:tcPr>
            <w:tcW w:w="9272" w:type="dxa"/>
          </w:tcPr>
          <w:p w:rsidR="00412DA7" w:rsidRDefault="00412DA7" w:rsidP="000254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  <w:r w:rsidR="00FC38A3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412DA7" w:rsidTr="000254C5">
        <w:trPr>
          <w:trHeight w:val="1052"/>
        </w:trPr>
        <w:tc>
          <w:tcPr>
            <w:tcW w:w="9272" w:type="dxa"/>
          </w:tcPr>
          <w:p w:rsidR="00412DA7" w:rsidRDefault="00FC38A3" w:rsidP="000254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الاستعانة بالمصادر الأجنبية الحديثة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00D" w:rsidRDefault="00A7000D" w:rsidP="00CA735C">
      <w:pPr>
        <w:spacing w:after="0" w:line="240" w:lineRule="auto"/>
      </w:pPr>
      <w:r>
        <w:separator/>
      </w:r>
    </w:p>
  </w:endnote>
  <w:endnote w:type="continuationSeparator" w:id="0">
    <w:p w:rsidR="00A7000D" w:rsidRDefault="00A7000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00D" w:rsidRDefault="00A7000D" w:rsidP="00CA735C">
      <w:pPr>
        <w:spacing w:after="0" w:line="240" w:lineRule="auto"/>
      </w:pPr>
      <w:r>
        <w:separator/>
      </w:r>
    </w:p>
  </w:footnote>
  <w:footnote w:type="continuationSeparator" w:id="0">
    <w:p w:rsidR="00A7000D" w:rsidRDefault="00A7000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6337"/>
    <w:multiLevelType w:val="hybridMultilevel"/>
    <w:tmpl w:val="EF8A2A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9D1"/>
    <w:multiLevelType w:val="hybridMultilevel"/>
    <w:tmpl w:val="A5C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3624"/>
    <w:multiLevelType w:val="hybridMultilevel"/>
    <w:tmpl w:val="892A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008DF"/>
    <w:multiLevelType w:val="hybridMultilevel"/>
    <w:tmpl w:val="F2C8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B8D"/>
    <w:multiLevelType w:val="hybridMultilevel"/>
    <w:tmpl w:val="9E1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FF6"/>
    <w:multiLevelType w:val="hybridMultilevel"/>
    <w:tmpl w:val="3B7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6E74"/>
    <w:multiLevelType w:val="hybridMultilevel"/>
    <w:tmpl w:val="5F2A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5C"/>
    <w:rsid w:val="00013C8F"/>
    <w:rsid w:val="00022E38"/>
    <w:rsid w:val="000254C5"/>
    <w:rsid w:val="000340DF"/>
    <w:rsid w:val="00057E8C"/>
    <w:rsid w:val="0008350B"/>
    <w:rsid w:val="00122262"/>
    <w:rsid w:val="0013598D"/>
    <w:rsid w:val="001D757D"/>
    <w:rsid w:val="00236CB6"/>
    <w:rsid w:val="002E3127"/>
    <w:rsid w:val="0030614F"/>
    <w:rsid w:val="0030660B"/>
    <w:rsid w:val="00323459"/>
    <w:rsid w:val="00327007"/>
    <w:rsid w:val="00412DA7"/>
    <w:rsid w:val="004647A9"/>
    <w:rsid w:val="00481CE2"/>
    <w:rsid w:val="004C6A23"/>
    <w:rsid w:val="004F5E75"/>
    <w:rsid w:val="0059541B"/>
    <w:rsid w:val="0062077A"/>
    <w:rsid w:val="0064649D"/>
    <w:rsid w:val="006D46D8"/>
    <w:rsid w:val="00724EB3"/>
    <w:rsid w:val="0074172A"/>
    <w:rsid w:val="00756B53"/>
    <w:rsid w:val="007A78BF"/>
    <w:rsid w:val="007B4D05"/>
    <w:rsid w:val="00854347"/>
    <w:rsid w:val="00871690"/>
    <w:rsid w:val="008F76D0"/>
    <w:rsid w:val="009071DC"/>
    <w:rsid w:val="009F546E"/>
    <w:rsid w:val="00A47853"/>
    <w:rsid w:val="00A7000D"/>
    <w:rsid w:val="00A82BD0"/>
    <w:rsid w:val="00AA4A87"/>
    <w:rsid w:val="00AE3006"/>
    <w:rsid w:val="00B05BE9"/>
    <w:rsid w:val="00B17AD2"/>
    <w:rsid w:val="00B33073"/>
    <w:rsid w:val="00B35C2C"/>
    <w:rsid w:val="00BF6B57"/>
    <w:rsid w:val="00C107A2"/>
    <w:rsid w:val="00C51AEA"/>
    <w:rsid w:val="00CA735C"/>
    <w:rsid w:val="00CF4B53"/>
    <w:rsid w:val="00D027B3"/>
    <w:rsid w:val="00D1202B"/>
    <w:rsid w:val="00D44997"/>
    <w:rsid w:val="00D66805"/>
    <w:rsid w:val="00DE4E0D"/>
    <w:rsid w:val="00E05158"/>
    <w:rsid w:val="00E2362D"/>
    <w:rsid w:val="00F940A8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FA64E41-8066-4B01-A348-E150689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AA4A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Oamrr1979@outlook.sa</cp:lastModifiedBy>
  <cp:revision>2</cp:revision>
  <dcterms:created xsi:type="dcterms:W3CDTF">2021-09-06T10:32:00Z</dcterms:created>
  <dcterms:modified xsi:type="dcterms:W3CDTF">2021-09-06T10:32:00Z</dcterms:modified>
</cp:coreProperties>
</file>