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65BFA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E75BC2" w:rsidRDefault="003920C8" w:rsidP="00E75BC2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  <w:r w:rsidR="00E75BC2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E75BC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1121 ل ع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5B5F95" w:rsidP="003920C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3920C8" w:rsidP="003920C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30 ساعة </w:t>
            </w:r>
            <w:r w:rsidR="00C2234F">
              <w:rPr>
                <w:rFonts w:hint="cs"/>
                <w:sz w:val="28"/>
                <w:szCs w:val="28"/>
                <w:rtl/>
                <w:lang w:bidi="ar-IQ"/>
              </w:rPr>
              <w:t>لكل فصل 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التعرف على النصوص الادبية والاستفادة منها 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القراءة الصحيحة والكتابة السليمة من الاخطاء 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القدرة على التعبير السليم في كتابة الموضوعات </w:t>
            </w: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D622F1" w:rsidRPr="00D622F1" w:rsidRDefault="00D622F1" w:rsidP="00D622F1">
            <w:pPr>
              <w:pStyle w:val="ListParagraph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511259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الاطلاع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الادبية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</w:t>
            </w:r>
            <w:r>
              <w:t xml:space="preserve"> </w:t>
            </w:r>
          </w:p>
          <w:p w:rsidR="00D622F1" w:rsidRDefault="00D622F1" w:rsidP="00D622F1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 w:rsidR="00511259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العربية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وتطبيقها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والكتابة</w:t>
            </w:r>
            <w:r>
              <w:t xml:space="preserve"> </w:t>
            </w:r>
          </w:p>
          <w:p w:rsidR="00D622F1" w:rsidRDefault="00D622F1" w:rsidP="00D622F1">
            <w:pPr>
              <w:bidi/>
              <w:jc w:val="both"/>
              <w:rPr>
                <w:rtl/>
              </w:rPr>
            </w:pPr>
            <w:r w:rsidRPr="00D622F1">
              <w:rPr>
                <w:rFonts w:cs="Arial" w:hint="cs"/>
                <w:rtl/>
              </w:rPr>
              <w:t>أ</w:t>
            </w:r>
            <w:r w:rsidRPr="00D622F1">
              <w:rPr>
                <w:rFonts w:cs="Arial"/>
                <w:rtl/>
              </w:rPr>
              <w:t xml:space="preserve">3- </w:t>
            </w:r>
            <w:r w:rsidRPr="00D622F1">
              <w:rPr>
                <w:rFonts w:cs="Arial" w:hint="cs"/>
                <w:rtl/>
              </w:rPr>
              <w:t>معرفة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وفهم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طريقة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رسم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الحرف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العربي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وتطبيقة</w:t>
            </w:r>
            <w:r w:rsidRPr="00D622F1">
              <w:rPr>
                <w:rFonts w:cs="Arial"/>
                <w:rtl/>
              </w:rPr>
              <w:t xml:space="preserve"> </w:t>
            </w:r>
          </w:p>
          <w:p w:rsidR="00412DA7" w:rsidRDefault="00412DA7" w:rsidP="00D622F1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D622F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D622F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>ب1 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B25D3">
              <w:rPr>
                <w:rFonts w:hint="cs"/>
                <w:rtl/>
                <w:lang w:bidi="ar-IQ"/>
              </w:rPr>
              <w:t xml:space="preserve">مهارة القراءة والكتابة السليمة من الاخطاء 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 xml:space="preserve">ب2 – </w:t>
            </w:r>
            <w:r w:rsidRPr="00CB25D3">
              <w:rPr>
                <w:rFonts w:hint="cs"/>
                <w:rtl/>
                <w:lang w:bidi="ar-IQ"/>
              </w:rPr>
              <w:t>مهارة اعداد التقارير والبحوث السليمة من الاخطاء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 xml:space="preserve">ب3 – </w:t>
            </w:r>
            <w:r w:rsidRPr="00CB25D3">
              <w:rPr>
                <w:rFonts w:hint="cs"/>
                <w:rtl/>
                <w:lang w:bidi="ar-IQ"/>
              </w:rPr>
              <w:t xml:space="preserve">مهارة التعبير في كتابة التقارير والبحوث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8F169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D3460F">
              <w:rPr>
                <w:rFonts w:hint="cs"/>
                <w:rtl/>
                <w:lang w:bidi="ar-IQ"/>
              </w:rPr>
              <w:t>اسلوب المحاض</w:t>
            </w:r>
            <w:r w:rsidRPr="008F1690">
              <w:rPr>
                <w:rFonts w:hint="cs"/>
                <w:rtl/>
                <w:lang w:bidi="ar-IQ"/>
              </w:rPr>
              <w:t xml:space="preserve">رات </w:t>
            </w:r>
          </w:p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2ـ </w:t>
            </w:r>
            <w:r w:rsidRPr="008F1690">
              <w:rPr>
                <w:rFonts w:hint="cs"/>
                <w:rtl/>
                <w:lang w:bidi="ar-IQ"/>
              </w:rPr>
              <w:t>حل التمارين</w:t>
            </w:r>
          </w:p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 w:rsidRPr="008F1690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F1690">
              <w:rPr>
                <w:rFonts w:hint="cs"/>
                <w:rtl/>
                <w:lang w:bidi="ar-IQ"/>
              </w:rPr>
              <w:t>الوجبات البيتة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4A5BCD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 xml:space="preserve">الامتحانات التحريرية </w:t>
            </w:r>
          </w:p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 w:rsidRPr="004A5BCD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>الامتحانات الشفوية</w:t>
            </w:r>
          </w:p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 w:rsidRPr="004A5BCD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>الامتحانات اليومية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04FEE" w:rsidRPr="00504FEE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>تشجيع الطلبة على فهم الاطار الفكري للقواعد اللغوية</w:t>
            </w:r>
          </w:p>
          <w:p w:rsidR="00504FEE" w:rsidRPr="00504FEE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 xml:space="preserve">تشجيع الطلبة على التحليل الفكري والاستنتاج </w:t>
            </w:r>
          </w:p>
          <w:p w:rsidR="00412DA7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>التفكير في كيفية ربط الكلمات  والجمل من خلال تطبيق القواعد اللغوية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DC1089" w:rsidRPr="00DC1089" w:rsidRDefault="00DC1089" w:rsidP="00DC108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DC1089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 xml:space="preserve">المحاضرة </w:t>
            </w:r>
          </w:p>
          <w:p w:rsidR="00DC1089" w:rsidRPr="00DC1089" w:rsidRDefault="00DC1089" w:rsidP="00DC1089">
            <w:pPr>
              <w:bidi/>
              <w:rPr>
                <w:rtl/>
                <w:lang w:bidi="ar-IQ"/>
              </w:rPr>
            </w:pPr>
            <w:r w:rsidRPr="00DC1089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 xml:space="preserve">المناقشة </w:t>
            </w:r>
          </w:p>
          <w:p w:rsidR="00412DA7" w:rsidRDefault="00DC1089" w:rsidP="00DC1089">
            <w:pPr>
              <w:bidi/>
              <w:rPr>
                <w:rtl/>
              </w:rPr>
            </w:pPr>
            <w:r w:rsidRPr="00DC1089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>طرائق اخرى حسب الموضوع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125A0E" w:rsidRPr="00125A0E" w:rsidRDefault="00125A0E" w:rsidP="00125A0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125A0E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125A0E">
              <w:rPr>
                <w:rFonts w:hint="cs"/>
                <w:rtl/>
                <w:lang w:bidi="ar-IQ"/>
              </w:rPr>
              <w:t>اجراء الامتحانات سواء كانت تحريرية او شفوية</w:t>
            </w:r>
          </w:p>
          <w:p w:rsidR="00125A0E" w:rsidRPr="00125A0E" w:rsidRDefault="00125A0E" w:rsidP="00125A0E">
            <w:pPr>
              <w:bidi/>
              <w:rPr>
                <w:rtl/>
                <w:lang w:bidi="ar-IQ"/>
              </w:rPr>
            </w:pPr>
            <w:r w:rsidRPr="00125A0E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125A0E">
              <w:rPr>
                <w:rFonts w:hint="cs"/>
                <w:rtl/>
                <w:lang w:bidi="ar-IQ"/>
              </w:rPr>
              <w:t xml:space="preserve">تكليف الطلبة  بكتابة تقارير وبحوث تساهم في تحسين مستواهم التعبيري والكتابي 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D41C23" w:rsidRDefault="00D41C23" w:rsidP="00D41C23">
      <w:pPr>
        <w:bidi/>
        <w:rPr>
          <w:rtl/>
        </w:rPr>
      </w:pPr>
    </w:p>
    <w:p w:rsidR="00412DA7" w:rsidRDefault="00265BFA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67767E" w:rsidRPr="0067767E" w:rsidRDefault="0067767E" w:rsidP="0067767E">
                  <w:pPr>
                    <w:jc w:val="right"/>
                    <w:rPr>
                      <w:rtl/>
                      <w:lang w:bidi="ar-IQ"/>
                    </w:rPr>
                  </w:pPr>
                  <w:r w:rsidRPr="0067767E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67767E">
                    <w:rPr>
                      <w:rFonts w:hint="cs"/>
                      <w:rtl/>
                      <w:lang w:bidi="ar-IQ"/>
                    </w:rPr>
                    <w:t>اكتساب الطلبة مهارة الحوار وتوصيل الافكار</w:t>
                  </w:r>
                </w:p>
                <w:p w:rsidR="0067767E" w:rsidRPr="0067767E" w:rsidRDefault="0067767E" w:rsidP="0067767E">
                  <w:pPr>
                    <w:jc w:val="right"/>
                    <w:rPr>
                      <w:rtl/>
                      <w:lang w:bidi="ar-IQ"/>
                    </w:rPr>
                  </w:pPr>
                  <w:r w:rsidRPr="0067767E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67767E">
                    <w:rPr>
                      <w:rFonts w:hint="cs"/>
                      <w:rtl/>
                      <w:lang w:bidi="ar-IQ"/>
                    </w:rPr>
                    <w:t>اكتساب الطلبة مهارة القراءة الجيدة والكتابة السليمة من الاخطاء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134"/>
        <w:gridCol w:w="4169"/>
        <w:gridCol w:w="1187"/>
        <w:gridCol w:w="1146"/>
      </w:tblGrid>
      <w:tr w:rsidR="00412DA7" w:rsidRPr="00B83B14" w:rsidTr="00B83B14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B83B14" w:rsidRDefault="00412DA7" w:rsidP="00B83B14">
            <w:pPr>
              <w:bidi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RPr="00B83B14" w:rsidTr="00B83B14">
        <w:trPr>
          <w:trHeight w:val="551"/>
        </w:trPr>
        <w:tc>
          <w:tcPr>
            <w:tcW w:w="770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134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169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87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46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83B14" w:rsidRPr="00B83B14" w:rsidTr="00B83B14">
        <w:trPr>
          <w:trHeight w:val="547"/>
        </w:trPr>
        <w:tc>
          <w:tcPr>
            <w:tcW w:w="770" w:type="dxa"/>
            <w:vAlign w:val="center"/>
          </w:tcPr>
          <w:p w:rsidR="00B83B14" w:rsidRPr="00B83B14" w:rsidRDefault="00B83B14" w:rsidP="00B83B1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83B14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-3</w:t>
            </w:r>
          </w:p>
        </w:tc>
        <w:tc>
          <w:tcPr>
            <w:tcW w:w="851" w:type="dxa"/>
            <w:vAlign w:val="center"/>
          </w:tcPr>
          <w:p w:rsidR="00B83B14" w:rsidRPr="00B83B14" w:rsidRDefault="00223FE9" w:rsidP="00B83B1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B83B14" w:rsidRPr="00B83B14" w:rsidRDefault="00B83B14" w:rsidP="00B83B1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  <w:u w:val="single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u w:val="single"/>
                <w:rtl/>
              </w:rPr>
              <w:t>قواعد الاملاء</w:t>
            </w:r>
            <w:r w:rsidRPr="00B83B14">
              <w:rPr>
                <w:rFonts w:ascii="Garamond" w:eastAsia="Times New Roman" w:hAnsi="Garamond" w:cs="Times New Roman" w:hint="cs"/>
                <w:color w:val="000000"/>
                <w:u w:val="single"/>
                <w:rtl/>
              </w:rPr>
              <w:t>:</w:t>
            </w:r>
          </w:p>
          <w:p w:rsidR="00B83B14" w:rsidRPr="00394B3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  <w:lang w:bidi="ar-IQ"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كتابة الهمزة </w:t>
            </w:r>
            <w:r w:rsidR="00B83B14" w:rsidRPr="00B83B14">
              <w:rPr>
                <w:rFonts w:ascii="Garamond" w:eastAsia="Times New Roman" w:hAnsi="Garamond" w:cs="Times New Roman" w:hint="cs"/>
                <w:color w:val="000000"/>
                <w:rtl/>
              </w:rPr>
              <w:t>(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>الابتدائية والمتوسطة والمتطرفة</w:t>
            </w:r>
            <w:r w:rsidR="00B83B14" w:rsidRPr="00B83B14">
              <w:rPr>
                <w:rFonts w:ascii="Garamond" w:eastAsia="Times New Roman" w:hAnsi="Garamond" w:cs="Times New Roman" w:hint="cs"/>
                <w:color w:val="000000"/>
                <w:rtl/>
              </w:rPr>
              <w:t>)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  <w:lang w:val="en-US"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كتابة حرفي الضاد والظاء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كتابة الالف القائمة والالف اللينة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كتابة التاء المربوطة والتاء المبسوطة </w:t>
            </w:r>
            <w:r w:rsidR="00394B34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  <w:rtl/>
                <w:lang w:bidi="ar-IQ"/>
              </w:rPr>
            </w:pPr>
          </w:p>
        </w:tc>
        <w:tc>
          <w:tcPr>
            <w:tcW w:w="1187" w:type="dxa"/>
            <w:vAlign w:val="center"/>
          </w:tcPr>
          <w:p w:rsidR="00B83B14" w:rsidRPr="00B83B14" w:rsidRDefault="00B83B14" w:rsidP="00B83B1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3B14" w:rsidRPr="00B83B14" w:rsidRDefault="00B83B14" w:rsidP="00B83B1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3B14" w:rsidRPr="00394B34" w:rsidTr="00B83B14">
        <w:trPr>
          <w:trHeight w:val="547"/>
        </w:trPr>
        <w:tc>
          <w:tcPr>
            <w:tcW w:w="770" w:type="dxa"/>
            <w:vAlign w:val="center"/>
          </w:tcPr>
          <w:p w:rsidR="00B83B14" w:rsidRPr="00B83B14" w:rsidRDefault="00B83B14" w:rsidP="00B83B1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4-6</w:t>
            </w:r>
          </w:p>
        </w:tc>
        <w:tc>
          <w:tcPr>
            <w:tcW w:w="851" w:type="dxa"/>
            <w:vAlign w:val="center"/>
          </w:tcPr>
          <w:p w:rsidR="00B83B14" w:rsidRPr="00B83B14" w:rsidRDefault="00223FE9" w:rsidP="00B83B1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B83B14" w:rsidRPr="00B83B14" w:rsidRDefault="00B83B14" w:rsidP="00B83B1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3B14" w:rsidRPr="00B83B14" w:rsidRDefault="00B83B14" w:rsidP="00394B34">
            <w:pPr>
              <w:jc w:val="center"/>
              <w:rPr>
                <w:rFonts w:ascii="Garamond" w:eastAsia="Times New Roman" w:hAnsi="Garamond" w:cs="Times New Roman"/>
                <w:color w:val="000000"/>
                <w:u w:val="single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u w:val="single"/>
                <w:rtl/>
              </w:rPr>
              <w:t>قواعد النحو العربي</w:t>
            </w:r>
          </w:p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علامات الاعراب الاصلية والفرعية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المثنى والملحق به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جمع المذكر السالم والملحق به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جمع المؤنث السالم والملحق به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  <w:rtl/>
                <w:lang w:bidi="ar-IQ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الاسماء الخمسة</w:t>
            </w:r>
          </w:p>
        </w:tc>
        <w:tc>
          <w:tcPr>
            <w:tcW w:w="1187" w:type="dxa"/>
            <w:vAlign w:val="center"/>
          </w:tcPr>
          <w:p w:rsidR="00B83B14" w:rsidRPr="00B83B14" w:rsidRDefault="00B83B14" w:rsidP="00B83B1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3B14" w:rsidRPr="00B83B14" w:rsidRDefault="00B83B14" w:rsidP="00B83B1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3B14" w:rsidRPr="00B83B14" w:rsidTr="00B83B14">
        <w:trPr>
          <w:trHeight w:val="547"/>
        </w:trPr>
        <w:tc>
          <w:tcPr>
            <w:tcW w:w="770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7-9</w:t>
            </w:r>
          </w:p>
        </w:tc>
        <w:tc>
          <w:tcPr>
            <w:tcW w:w="851" w:type="dxa"/>
            <w:vAlign w:val="center"/>
          </w:tcPr>
          <w:p w:rsidR="00B83B14" w:rsidRPr="00B83B14" w:rsidRDefault="00223FE9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B83B14" w:rsidRPr="00B83B14" w:rsidRDefault="00B83B14" w:rsidP="00394B34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3B14" w:rsidRPr="00394B34" w:rsidRDefault="00394B34" w:rsidP="00394B34">
            <w:pPr>
              <w:jc w:val="center"/>
              <w:rPr>
                <w:rFonts w:ascii="Garamond" w:eastAsia="Times New Roman" w:hAnsi="Garamond" w:cs="Times New Roman"/>
                <w:color w:val="000000"/>
                <w:u w:val="single"/>
                <w:lang w:val="en-US" w:bidi="ar-IQ"/>
              </w:rPr>
            </w:pPr>
            <w:r w:rsidRPr="00394B34">
              <w:rPr>
                <w:rFonts w:ascii="Garamond" w:eastAsia="Times New Roman" w:hAnsi="Garamond" w:cs="Times New Roman"/>
                <w:color w:val="000000"/>
                <w:u w:val="single"/>
              </w:rPr>
              <w:t>:</w:t>
            </w:r>
            <w:r w:rsidRPr="00394B34">
              <w:rPr>
                <w:rFonts w:ascii="Garamond" w:eastAsia="Times New Roman" w:hAnsi="Garamond" w:cs="Times New Roman"/>
                <w:color w:val="000000"/>
                <w:u w:val="single"/>
                <w:rtl/>
                <w:lang w:val="en-US"/>
              </w:rPr>
              <w:t>الجملة الاسمية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>المبتدأ والخبر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394B34" w:rsidP="00394B34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الافعال الناقصة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394B34">
            <w:pPr>
              <w:jc w:val="right"/>
              <w:rPr>
                <w:rFonts w:ascii="Garamond" w:eastAsia="Times New Roman" w:hAnsi="Garamond" w:cs="Times New Roman"/>
                <w:color w:val="000000"/>
                <w:rtl/>
                <w:lang w:bidi="ar-IQ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الاحرف </w:t>
            </w:r>
            <w:r w:rsidR="00394B34" w:rsidRPr="00B83B14">
              <w:rPr>
                <w:rFonts w:ascii="Garamond" w:eastAsia="Times New Roman" w:hAnsi="Garamond" w:cs="Times New Roman" w:hint="cs"/>
                <w:color w:val="000000"/>
                <w:rtl/>
              </w:rPr>
              <w:t>المشبه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 بالفعل</w:t>
            </w:r>
          </w:p>
        </w:tc>
        <w:tc>
          <w:tcPr>
            <w:tcW w:w="1187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3B14" w:rsidRPr="00B83B14" w:rsidTr="00B83B14">
        <w:trPr>
          <w:trHeight w:val="547"/>
        </w:trPr>
        <w:tc>
          <w:tcPr>
            <w:tcW w:w="770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10-12</w:t>
            </w:r>
          </w:p>
        </w:tc>
        <w:tc>
          <w:tcPr>
            <w:tcW w:w="851" w:type="dxa"/>
            <w:vAlign w:val="center"/>
          </w:tcPr>
          <w:p w:rsidR="00B83B14" w:rsidRPr="00B83B14" w:rsidRDefault="00223FE9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3B14" w:rsidRPr="00FD1208" w:rsidRDefault="00FD1208" w:rsidP="00FD1208">
            <w:pPr>
              <w:jc w:val="center"/>
              <w:rPr>
                <w:rFonts w:ascii="Garamond" w:eastAsia="Times New Roman" w:hAnsi="Garamond" w:cs="Times New Roman"/>
                <w:color w:val="000000"/>
                <w:u w:val="single"/>
                <w:rtl/>
              </w:rPr>
            </w:pPr>
            <w:r w:rsidRPr="00FD1208">
              <w:rPr>
                <w:rFonts w:ascii="Garamond" w:eastAsia="Times New Roman" w:hAnsi="Garamond" w:cs="Times New Roman"/>
                <w:color w:val="000000"/>
                <w:u w:val="single"/>
              </w:rPr>
              <w:t>:</w:t>
            </w:r>
            <w:r w:rsidRPr="00FD1208">
              <w:rPr>
                <w:rFonts w:ascii="Garamond" w:eastAsia="Times New Roman" w:hAnsi="Garamond" w:cs="Times New Roman"/>
                <w:color w:val="000000"/>
                <w:u w:val="single"/>
                <w:rtl/>
                <w:lang w:val="en-US"/>
              </w:rPr>
              <w:t>الجملة الفعلية</w:t>
            </w:r>
          </w:p>
          <w:p w:rsidR="00B83B14" w:rsidRPr="00B83B14" w:rsidRDefault="00B83B14" w:rsidP="00FD1208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بناء الفعل الماضي </w:t>
            </w:r>
            <w:r w:rsidR="00FD1208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FD1208" w:rsidP="00FD1208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  <w:lang w:bidi="ar-IQ"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بناء فعل الامر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الفعل المضارع وحالات اعرابه: (الرفع,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النصب,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الجزم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FD1208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الافعال الخمسة </w:t>
            </w:r>
            <w:r w:rsidR="00FD1208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FD1208" w:rsidP="00FD1208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الفاعل ونائب الفاعل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495B75" w:rsidRDefault="00B83B14" w:rsidP="00495B75">
            <w:pPr>
              <w:jc w:val="right"/>
              <w:rPr>
                <w:rFonts w:ascii="Garamond" w:eastAsia="Times New Roman" w:hAnsi="Garamond" w:cs="Times New Roman"/>
                <w:color w:val="000000"/>
                <w:lang w:val="en-US" w:bidi="ar-IQ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المفاعيل : (المفعول به,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المفعول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فيه,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المفعول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394B34" w:rsidRPr="00B83B14">
              <w:rPr>
                <w:rFonts w:ascii="Garamond" w:eastAsia="Times New Roman" w:hAnsi="Garamond" w:cs="Times New Roman" w:hint="cs"/>
                <w:color w:val="000000"/>
                <w:rtl/>
              </w:rPr>
              <w:t>لأجله</w:t>
            </w:r>
            <w:r w:rsidR="00495B75">
              <w:rPr>
                <w:rFonts w:ascii="Garamond" w:eastAsia="Times New Roman" w:hAnsi="Garamond" w:cs="Times New Roman" w:hint="cs"/>
                <w:color w:val="000000"/>
                <w:rtl/>
                <w:lang w:bidi="ar-IQ"/>
              </w:rPr>
              <w:t xml:space="preserve">، </w:t>
            </w:r>
            <w:r w:rsidR="00495B75" w:rsidRPr="00495B75">
              <w:rPr>
                <w:rFonts w:ascii="Garamond" w:eastAsia="Times New Roman" w:hAnsi="Garamond" w:cs="Times New Roman"/>
                <w:color w:val="000000"/>
                <w:rtl/>
              </w:rPr>
              <w:t>المفعول المطلق</w:t>
            </w:r>
            <w:r w:rsidR="00495B75">
              <w:rPr>
                <w:rFonts w:ascii="Garamond" w:eastAsia="Times New Roman" w:hAnsi="Garamond" w:cs="Times New Roman" w:hint="cs"/>
                <w:color w:val="000000"/>
                <w:rtl/>
              </w:rPr>
              <w:t>)</w:t>
            </w:r>
          </w:p>
          <w:p w:rsidR="00B83B14" w:rsidRPr="006B054E" w:rsidRDefault="00FD1208" w:rsidP="006B054E">
            <w:pPr>
              <w:jc w:val="right"/>
              <w:rPr>
                <w:rFonts w:ascii="Garamond" w:eastAsia="Times New Roman" w:hAnsi="Garamond" w:cs="Times New Roman"/>
                <w:color w:val="000000"/>
                <w:lang w:val="en-US" w:bidi="ar-IQ"/>
              </w:rPr>
            </w:pPr>
            <w:r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- </w:t>
            </w:r>
            <w:r w:rsidR="00B83B14" w:rsidRPr="00B83B14">
              <w:rPr>
                <w:rFonts w:ascii="Garamond" w:eastAsia="Times New Roman" w:hAnsi="Garamond" w:cs="Times New Roman"/>
                <w:color w:val="000000"/>
                <w:rtl/>
              </w:rPr>
              <w:t>قواعد العدد والنعت</w:t>
            </w:r>
            <w:r>
              <w:rPr>
                <w:rFonts w:ascii="Garamond" w:eastAsia="Times New Roman" w:hAnsi="Garamond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3B14" w:rsidRPr="00B83B14" w:rsidTr="00B83B14">
        <w:trPr>
          <w:trHeight w:val="547"/>
        </w:trPr>
        <w:tc>
          <w:tcPr>
            <w:tcW w:w="770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13-15</w:t>
            </w:r>
          </w:p>
        </w:tc>
        <w:tc>
          <w:tcPr>
            <w:tcW w:w="851" w:type="dxa"/>
            <w:vAlign w:val="center"/>
          </w:tcPr>
          <w:p w:rsidR="00B83B14" w:rsidRPr="00B83B14" w:rsidRDefault="00223FE9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3B14" w:rsidRPr="00B83B14" w:rsidRDefault="00B83B14" w:rsidP="00B83B14">
            <w:pPr>
              <w:jc w:val="center"/>
              <w:rPr>
                <w:rFonts w:ascii="Garamond" w:eastAsia="Times New Roman" w:hAnsi="Garamond" w:cs="Times New Roman"/>
                <w:color w:val="000000"/>
                <w:u w:val="single"/>
                <w:lang w:bidi="ar-IQ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  <w:u w:val="single"/>
                <w:rtl/>
              </w:rPr>
              <w:t>النصوص الادبية</w:t>
            </w:r>
            <w:r w:rsidRPr="00B83B14">
              <w:rPr>
                <w:rFonts w:ascii="Garamond" w:eastAsia="Times New Roman" w:hAnsi="Garamond" w:cs="Times New Roman" w:hint="cs"/>
                <w:color w:val="000000"/>
                <w:u w:val="single"/>
                <w:rtl/>
                <w:lang w:bidi="ar-IQ"/>
              </w:rPr>
              <w:t>:</w:t>
            </w:r>
          </w:p>
          <w:p w:rsidR="00B83B14" w:rsidRPr="00B83B14" w:rsidRDefault="00B83B14" w:rsidP="0032654A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="0032654A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النص</w:t>
            </w:r>
            <w:r w:rsidR="00394B34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="00394B34" w:rsidRPr="00B83B14">
              <w:rPr>
                <w:rFonts w:ascii="Garamond" w:eastAsia="Times New Roman" w:hAnsi="Garamond" w:cs="Times New Roman" w:hint="cs"/>
                <w:color w:val="000000"/>
                <w:rtl/>
              </w:rPr>
              <w:t>القرآني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 (سورة يوسف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32654A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نص من الشعري الجاهلي (عمرو بن كلثوم </w:t>
            </w:r>
            <w:r w:rsidR="0032654A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32654A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>نص من الشعري الاسلامي (مالك بن الري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 xml:space="preserve"> -</w:t>
            </w:r>
          </w:p>
          <w:p w:rsidR="00B83B14" w:rsidRPr="00B83B14" w:rsidRDefault="00B83B14" w:rsidP="0032654A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="0032654A">
              <w:rPr>
                <w:rFonts w:ascii="Garamond" w:eastAsia="Times New Roman" w:hAnsi="Garamond" w:cs="Times New Roman" w:hint="cs"/>
                <w:color w:val="000000"/>
                <w:rtl/>
                <w:lang w:bidi="ar-IQ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نص من الشهري العباسي (ابو العلاء المعري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32654A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="0032654A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نص من الشعري الحديث (احمد شوقي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  <w:p w:rsidR="00B83B14" w:rsidRPr="00B83B14" w:rsidRDefault="00B83B14" w:rsidP="006B054E">
            <w:pPr>
              <w:jc w:val="right"/>
              <w:rPr>
                <w:rFonts w:ascii="Garamond" w:eastAsia="Times New Roman" w:hAnsi="Garamond" w:cs="Times New Roman"/>
                <w:color w:val="000000"/>
                <w:rtl/>
              </w:rPr>
            </w:pPr>
            <w:r w:rsidRPr="00B83B14">
              <w:rPr>
                <w:rFonts w:ascii="Garamond" w:eastAsia="Times New Roman" w:hAnsi="Garamond" w:cs="Times New Roman"/>
                <w:color w:val="000000"/>
              </w:rPr>
              <w:t>(</w:t>
            </w:r>
            <w:r w:rsidRPr="00B83B14">
              <w:rPr>
                <w:rFonts w:ascii="Garamond" w:eastAsia="Times New Roman" w:hAnsi="Garamond" w:cs="Times New Roman"/>
                <w:color w:val="000000"/>
                <w:rtl/>
              </w:rPr>
              <w:t xml:space="preserve">نص من الشعري المعاصر (السياب </w:t>
            </w:r>
            <w:r w:rsidR="0032654A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r w:rsidRPr="00B83B14">
              <w:rPr>
                <w:rFonts w:ascii="Garamond" w:eastAsia="Times New Roman" w:hAnsi="Garamond" w:cs="Times New Roman"/>
                <w:color w:val="000000"/>
              </w:rPr>
              <w:t>-</w:t>
            </w:r>
          </w:p>
        </w:tc>
        <w:tc>
          <w:tcPr>
            <w:tcW w:w="1187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3B14" w:rsidRPr="00B83B14" w:rsidRDefault="00B83B14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B83B14" w:rsidRDefault="00B83B14" w:rsidP="00B83B14">
      <w:pPr>
        <w:bidi/>
        <w:rPr>
          <w:rtl/>
          <w:lang w:bidi="ar-IQ"/>
        </w:rPr>
      </w:pPr>
    </w:p>
    <w:p w:rsidR="00B83B14" w:rsidRDefault="00B83B14" w:rsidP="00B83B14">
      <w:pPr>
        <w:bidi/>
        <w:rPr>
          <w:rtl/>
          <w:lang w:bidi="ar-IQ"/>
        </w:rPr>
      </w:pPr>
    </w:p>
    <w:p w:rsidR="00B83B14" w:rsidRDefault="00B83B14" w:rsidP="00B83B14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264AD" w:rsidRDefault="00C264AD" w:rsidP="00C264AD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الكتاب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المقرر</w:t>
            </w:r>
          </w:p>
          <w:p w:rsidR="00C264AD" w:rsidRDefault="00C264AD" w:rsidP="00C264AD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2-</w:t>
            </w:r>
            <w:r w:rsidR="006B054E">
              <w:rPr>
                <w:rFonts w:cs="Arial" w:hint="cs"/>
                <w:rtl/>
                <w:lang w:bidi="ar-IQ"/>
              </w:rPr>
              <w:t xml:space="preserve"> المحاض</w:t>
            </w:r>
            <w:r>
              <w:rPr>
                <w:rFonts w:cs="Arial" w:hint="cs"/>
                <w:rtl/>
                <w:lang w:bidi="ar-IQ"/>
              </w:rPr>
              <w:t>ر</w:t>
            </w:r>
            <w:r w:rsidR="00CD5FE4">
              <w:rPr>
                <w:rFonts w:cs="Arial" w:hint="cs"/>
                <w:rtl/>
                <w:lang w:bidi="ar-IQ"/>
              </w:rPr>
              <w:t>ا</w:t>
            </w:r>
            <w:r>
              <w:rPr>
                <w:rFonts w:cs="Arial" w:hint="cs"/>
                <w:rtl/>
                <w:lang w:bidi="ar-IQ"/>
              </w:rPr>
              <w:t>ت</w:t>
            </w:r>
          </w:p>
          <w:p w:rsidR="00412DA7" w:rsidRDefault="00C264AD" w:rsidP="00C264AD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3-</w:t>
            </w:r>
            <w:r>
              <w:rPr>
                <w:rFonts w:cs="Arial" w:hint="cs"/>
                <w:rtl/>
                <w:lang w:bidi="ar-IQ"/>
              </w:rPr>
              <w:t xml:space="preserve"> مراجع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اخرى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FA" w:rsidRDefault="00265BFA" w:rsidP="00CA735C">
      <w:pPr>
        <w:spacing w:after="0" w:line="240" w:lineRule="auto"/>
      </w:pPr>
      <w:r>
        <w:separator/>
      </w:r>
    </w:p>
  </w:endnote>
  <w:endnote w:type="continuationSeparator" w:id="0">
    <w:p w:rsidR="00265BFA" w:rsidRDefault="00265BF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FA" w:rsidRDefault="00265BFA" w:rsidP="00CA735C">
      <w:pPr>
        <w:spacing w:after="0" w:line="240" w:lineRule="auto"/>
      </w:pPr>
      <w:r>
        <w:separator/>
      </w:r>
    </w:p>
  </w:footnote>
  <w:footnote w:type="continuationSeparator" w:id="0">
    <w:p w:rsidR="00265BFA" w:rsidRDefault="00265BF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1105C6"/>
    <w:rsid w:val="00122262"/>
    <w:rsid w:val="00125A0E"/>
    <w:rsid w:val="0013598D"/>
    <w:rsid w:val="001B6837"/>
    <w:rsid w:val="001E2823"/>
    <w:rsid w:val="00223FE9"/>
    <w:rsid w:val="00265BFA"/>
    <w:rsid w:val="0030660B"/>
    <w:rsid w:val="0032654A"/>
    <w:rsid w:val="00327007"/>
    <w:rsid w:val="003920C8"/>
    <w:rsid w:val="00394B34"/>
    <w:rsid w:val="00412DA7"/>
    <w:rsid w:val="004474D1"/>
    <w:rsid w:val="00495B75"/>
    <w:rsid w:val="004A5BCD"/>
    <w:rsid w:val="004F5E75"/>
    <w:rsid w:val="00504FEE"/>
    <w:rsid w:val="00511259"/>
    <w:rsid w:val="005B5F95"/>
    <w:rsid w:val="005C44BE"/>
    <w:rsid w:val="00631533"/>
    <w:rsid w:val="0064649D"/>
    <w:rsid w:val="0067767E"/>
    <w:rsid w:val="006B054E"/>
    <w:rsid w:val="006D46D8"/>
    <w:rsid w:val="00746D71"/>
    <w:rsid w:val="007B4D05"/>
    <w:rsid w:val="00854347"/>
    <w:rsid w:val="008F1690"/>
    <w:rsid w:val="009A7D54"/>
    <w:rsid w:val="00AA1B81"/>
    <w:rsid w:val="00B17AD2"/>
    <w:rsid w:val="00B83B14"/>
    <w:rsid w:val="00BF6B57"/>
    <w:rsid w:val="00C2234F"/>
    <w:rsid w:val="00C264AD"/>
    <w:rsid w:val="00CA735C"/>
    <w:rsid w:val="00CB25D3"/>
    <w:rsid w:val="00CC0C41"/>
    <w:rsid w:val="00CD5FE4"/>
    <w:rsid w:val="00D027B3"/>
    <w:rsid w:val="00D3460F"/>
    <w:rsid w:val="00D41C23"/>
    <w:rsid w:val="00D622F1"/>
    <w:rsid w:val="00DC1089"/>
    <w:rsid w:val="00E75BC2"/>
    <w:rsid w:val="00F5369E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41</cp:revision>
  <cp:lastPrinted>2016-05-21T12:42:00Z</cp:lastPrinted>
  <dcterms:created xsi:type="dcterms:W3CDTF">2016-04-20T09:14:00Z</dcterms:created>
  <dcterms:modified xsi:type="dcterms:W3CDTF">2016-12-21T06:24:00Z</dcterms:modified>
</cp:coreProperties>
</file>