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A26C2D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B443EF" w:rsidRDefault="000D4C36" w:rsidP="00B443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اسواق مالية</w:t>
            </w:r>
            <w:r w:rsidR="00B443EF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B443E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2813 س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0D4C36" w:rsidP="000D4C3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0D4C36" w:rsidP="000D4C3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التعريف بالاطار المفاهيمي لموضوع الأسواق المالية وأهميتها ودورها في الاقتصادات المختلفة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تناول التجارب العالمية الناجحة في مجال الاسواق المالية مع التعرض للأزمات ومواطن الاخفاق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إعطاء الطلبة فكرة عن مؤشرات الأسواق وأدائها بصورة رقمية .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تطوير اللغة االاقتصادية والفنية لطلبتنا فيما يخص موضوع الاسواق المالية</w:t>
            </w: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91207" w:rsidRDefault="00C91207" w:rsidP="00C91207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B9403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4039" w:rsidRDefault="00B94039" w:rsidP="00B94039">
            <w:pPr>
              <w:pStyle w:val="ListParagraph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1-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بالمفاهيم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الأساسية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للاسواق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</w:p>
          <w:p w:rsidR="00B94039" w:rsidRPr="00B94039" w:rsidRDefault="00B94039" w:rsidP="00B94039">
            <w:pPr>
              <w:pStyle w:val="ListParagraph"/>
              <w:bidi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</w:t>
            </w:r>
            <w:r>
              <w:rPr>
                <w:rFonts w:cs="Arial" w:hint="cs"/>
                <w:rtl/>
              </w:rPr>
              <w:t>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التداول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وعمل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</w:p>
          <w:p w:rsidR="00B94039" w:rsidRDefault="00B94039" w:rsidP="00B94039">
            <w:pPr>
              <w:pStyle w:val="ListParagraph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المؤشرات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</w:p>
          <w:p w:rsidR="00B94039" w:rsidRDefault="00B94039" w:rsidP="00B94039">
            <w:pPr>
              <w:pStyle w:val="ListParagraph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4- </w:t>
            </w:r>
            <w:r>
              <w:rPr>
                <w:rFonts w:cs="Arial" w:hint="cs"/>
                <w:rtl/>
              </w:rPr>
              <w:t>إعطاء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نظرة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مقارنة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المتقدمة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والناشئة</w:t>
            </w:r>
          </w:p>
          <w:p w:rsidR="00B94039" w:rsidRDefault="00B94039" w:rsidP="00B94039">
            <w:pPr>
              <w:pStyle w:val="ListParagraph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5-   </w:t>
            </w:r>
            <w:r>
              <w:rPr>
                <w:rFonts w:cs="Arial" w:hint="cs"/>
                <w:rtl/>
              </w:rPr>
              <w:t>زيادة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التحليلية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لأداء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العالمية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والمحلية</w:t>
            </w:r>
            <w:r>
              <w:t xml:space="preserve">  </w:t>
            </w:r>
          </w:p>
          <w:p w:rsidR="00412DA7" w:rsidRPr="00A9320D" w:rsidRDefault="00B94039" w:rsidP="00B94039">
            <w:pPr>
              <w:pStyle w:val="ListParagraph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6-  </w:t>
            </w:r>
            <w:r>
              <w:rPr>
                <w:rFonts w:cs="Arial" w:hint="cs"/>
                <w:rtl/>
              </w:rPr>
              <w:t>إعطاء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فكرة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للطلبة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الأزمات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إمكانية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التنبؤ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بها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B94039" w:rsidRPr="00B94039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 xml:space="preserve">ب1 – بناء القدرات المعرفية لدى الطلبة فيما يتعلق بالاسواق المالية </w:t>
            </w:r>
          </w:p>
          <w:p w:rsidR="00B94039" w:rsidRPr="00B94039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 xml:space="preserve">ب2 – تطوير مهارات الطلبة على تتبع وقراءت مؤشرات الأسواق المالية </w:t>
            </w:r>
          </w:p>
          <w:p w:rsidR="00B94039" w:rsidRPr="00B94039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>ب3 -  تعريف الطلبة بسوق العراق المالي والشركات المدرجة والمتداولة فيه</w:t>
            </w:r>
          </w:p>
          <w:p w:rsidR="00412DA7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>ب4-   أخيراً بناء الشخصية العلمية للطالب وإعداده لسوق العمل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94039" w:rsidTr="00EF7BCF">
        <w:trPr>
          <w:trHeight w:val="1396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طرق تقليدية تتمثل بالكتاب المنهجي ومصادر مساعدة اخرى </w:t>
            </w:r>
          </w:p>
          <w:p w:rsidR="00B94039" w:rsidRPr="00E211E4" w:rsidRDefault="00B94039" w:rsidP="00B9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طرق حديثة تتمثل بالدخول على الانترننت مباشرة لمتابعة وتحليل مؤشرات ونتائج الأسواق المالية</w:t>
            </w:r>
          </w:p>
          <w:p w:rsidR="00B94039" w:rsidRPr="00E211E4" w:rsidRDefault="00B94039" w:rsidP="00B9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طرق مبتكرة تقوم على تحفيز الطلبة لتقديم أوراق تحليل مختصرة عن مواضيع مستجدة بالمادة</w:t>
            </w:r>
          </w:p>
          <w:p w:rsidR="00B94039" w:rsidRPr="00E211E4" w:rsidRDefault="00B94039" w:rsidP="00B9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التعلم الشفاهي والمنلقشات بين الاستاذ والطلبة وبيان رأيهم والاجابة عن تساؤلاتهم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435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EF7BCF">
        <w:trPr>
          <w:trHeight w:val="55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 طرائق التقييم </w:t>
            </w:r>
          </w:p>
        </w:tc>
      </w:tr>
      <w:tr w:rsidR="00B94039" w:rsidTr="00EF7BCF">
        <w:trPr>
          <w:trHeight w:val="128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أمتحانات تحريرية + امتحانات سفهية + مشاركة الطالب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C52E02">
        <w:trPr>
          <w:trHeight w:val="972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ج1-  تطوير قدرات الطلاب في التفكير على حل المشاكل العملية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ج2-  دعم التفكير الاقتصادي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ج3-  تطوير قابلية الطلبة على ادراة الوقت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94039" w:rsidTr="00C52E02">
        <w:trPr>
          <w:trHeight w:val="485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طرائق التعليم والتعلم </w:t>
            </w:r>
          </w:p>
        </w:tc>
      </w:tr>
      <w:tr w:rsidR="00B94039" w:rsidTr="00C52E02">
        <w:trPr>
          <w:trHeight w:val="1257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محاضرات صفية + شاشة عرض + مشاركة الطلب في تقديم المادة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3838F9">
        <w:trPr>
          <w:trHeight w:val="567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94039" w:rsidTr="003838F9">
        <w:trPr>
          <w:trHeight w:val="1539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A26C2D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25CA7" w:rsidRP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 xml:space="preserve">د1- العمل بروح الفريق </w:t>
                  </w:r>
                </w:p>
                <w:p w:rsidR="00525CA7" w:rsidRP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د2- تطوير سرعة البديهة والقدرة على الاجابة لدى الطالب</w:t>
                  </w:r>
                </w:p>
                <w:p w:rsid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د3- التصرف الس</w:t>
                  </w:r>
                  <w:r w:rsidRPr="00525CA7">
                    <w:rPr>
                      <w:rFonts w:hint="cs"/>
                      <w:rtl/>
                      <w:lang w:bidi="ar-IQ"/>
                    </w:rPr>
                    <w:t>ل</w:t>
                  </w:r>
                  <w:r w:rsidRPr="00525CA7">
                    <w:rPr>
                      <w:rtl/>
                      <w:lang w:bidi="ar-IQ"/>
                    </w:rPr>
                    <w:t xml:space="preserve">يم في المواقف المختلفة </w:t>
                  </w:r>
                </w:p>
                <w:p w:rsidR="00412DA7" w:rsidRDefault="00412DA7" w:rsidP="00525C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912"/>
        <w:gridCol w:w="851"/>
        <w:gridCol w:w="1275"/>
        <w:gridCol w:w="3544"/>
        <w:gridCol w:w="1418"/>
        <w:gridCol w:w="1257"/>
      </w:tblGrid>
      <w:tr w:rsidR="00412DA7" w:rsidTr="009B0ABD">
        <w:trPr>
          <w:trHeight w:val="364"/>
        </w:trPr>
        <w:tc>
          <w:tcPr>
            <w:tcW w:w="9257" w:type="dxa"/>
            <w:gridSpan w:val="6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Tr="00F461D2">
        <w:trPr>
          <w:trHeight w:val="551"/>
        </w:trPr>
        <w:tc>
          <w:tcPr>
            <w:tcW w:w="9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5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1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1-2</w:t>
            </w:r>
          </w:p>
        </w:tc>
        <w:tc>
          <w:tcPr>
            <w:tcW w:w="851" w:type="dxa"/>
            <w:vAlign w:val="center"/>
          </w:tcPr>
          <w:p w:rsidR="00F461D2" w:rsidRPr="00E211E4" w:rsidRDefault="00B3646E" w:rsidP="00316522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السوق المالي : المفهوم-الأهمية - المتطلبات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F461D2" w:rsidRPr="00E211E4" w:rsidRDefault="00F461D2" w:rsidP="00316522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bidi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أدوات السوق المالي المالية ( كالأسهم العادية)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4 -5</w:t>
            </w:r>
          </w:p>
        </w:tc>
        <w:tc>
          <w:tcPr>
            <w:tcW w:w="851" w:type="dxa"/>
            <w:vAlign w:val="center"/>
          </w:tcPr>
          <w:p w:rsidR="00F461D2" w:rsidRPr="00E211E4" w:rsidRDefault="00B3646E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الأسهم العادية  والعوامل المؤثرة فيها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6 - 7</w:t>
            </w:r>
          </w:p>
        </w:tc>
        <w:tc>
          <w:tcPr>
            <w:tcW w:w="851" w:type="dxa"/>
            <w:vAlign w:val="center"/>
          </w:tcPr>
          <w:p w:rsidR="00F461D2" w:rsidRPr="00E211E4" w:rsidRDefault="00781E0A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الأسهم الممتازة و السندات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الأوراق المالية والمشتقات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9 - 10</w:t>
            </w:r>
          </w:p>
        </w:tc>
        <w:tc>
          <w:tcPr>
            <w:tcW w:w="851" w:type="dxa"/>
            <w:vAlign w:val="center"/>
          </w:tcPr>
          <w:p w:rsidR="00F461D2" w:rsidRPr="00E211E4" w:rsidRDefault="00B3646E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مؤشرات الأسواق المالية وكيفية بنائها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نماذج من مؤشرات الأسواق المالية العالمية 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أزمات ألأسواق المالية : الاسباب والنتائج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13 -14</w:t>
            </w:r>
          </w:p>
        </w:tc>
        <w:tc>
          <w:tcPr>
            <w:tcW w:w="851" w:type="dxa"/>
            <w:vAlign w:val="center"/>
          </w:tcPr>
          <w:p w:rsidR="00F461D2" w:rsidRPr="00E211E4" w:rsidRDefault="00B3646E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مؤشرات التنبؤ بالأزمات المالية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  <w:tr w:rsidR="00F461D2" w:rsidTr="00F461D2">
        <w:trPr>
          <w:trHeight w:val="547"/>
        </w:trPr>
        <w:tc>
          <w:tcPr>
            <w:tcW w:w="912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F461D2" w:rsidRPr="00E211E4" w:rsidRDefault="00F461D2" w:rsidP="00316522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461D2" w:rsidRPr="00E211E4" w:rsidRDefault="00F461D2" w:rsidP="00F461D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سوق العراق المالي : النشأة والتطور والأداء</w:t>
            </w:r>
          </w:p>
        </w:tc>
        <w:tc>
          <w:tcPr>
            <w:tcW w:w="1418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461D2" w:rsidRDefault="00F461D2" w:rsidP="00F461D2">
            <w:pPr>
              <w:bidi/>
              <w:rPr>
                <w:rtl/>
                <w:lang w:bidi="ar-IQ"/>
              </w:rPr>
            </w:pPr>
          </w:p>
        </w:tc>
      </w:tr>
    </w:tbl>
    <w:p w:rsidR="00374838" w:rsidRDefault="00374838" w:rsidP="00374838">
      <w:pPr>
        <w:bidi/>
        <w:rPr>
          <w:rtl/>
          <w:lang w:bidi="ar-IQ"/>
        </w:rPr>
      </w:pPr>
    </w:p>
    <w:tbl>
      <w:tblPr>
        <w:tblStyle w:val="TableGrid"/>
        <w:bidiVisual/>
        <w:tblW w:w="9245" w:type="dxa"/>
        <w:tblLook w:val="04A0" w:firstRow="1" w:lastRow="0" w:firstColumn="1" w:lastColumn="0" w:noHBand="0" w:noVBand="1"/>
      </w:tblPr>
      <w:tblGrid>
        <w:gridCol w:w="17"/>
        <w:gridCol w:w="3876"/>
        <w:gridCol w:w="5335"/>
        <w:gridCol w:w="17"/>
      </w:tblGrid>
      <w:tr w:rsidR="00412DA7" w:rsidTr="009B0ABD">
        <w:trPr>
          <w:gridAfter w:val="1"/>
          <w:wAfter w:w="17" w:type="dxa"/>
          <w:trHeight w:val="412"/>
        </w:trPr>
        <w:tc>
          <w:tcPr>
            <w:tcW w:w="9228" w:type="dxa"/>
            <w:gridSpan w:val="3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9B0ABD">
        <w:trPr>
          <w:gridBefore w:val="1"/>
          <w:wBefore w:w="17" w:type="dxa"/>
          <w:trHeight w:val="529"/>
        </w:trPr>
        <w:tc>
          <w:tcPr>
            <w:tcW w:w="3876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52" w:type="dxa"/>
            <w:gridSpan w:val="2"/>
          </w:tcPr>
          <w:p w:rsidR="00412DA7" w:rsidRDefault="003405A7" w:rsidP="003405A7">
            <w:pPr>
              <w:bidi/>
              <w:rPr>
                <w:rtl/>
                <w:lang w:bidi="ar-IQ"/>
              </w:rPr>
            </w:pPr>
            <w:r w:rsidRPr="003405A7">
              <w:rPr>
                <w:rtl/>
                <w:lang w:bidi="ar-IQ"/>
              </w:rPr>
              <w:t>مطلوب قراءة كتب مقرر ة + كتب مساعدة عن الموضوع</w:t>
            </w: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455"/>
        </w:trPr>
        <w:tc>
          <w:tcPr>
            <w:tcW w:w="3876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12DA7" w:rsidTr="00374838">
        <w:trPr>
          <w:trHeight w:val="436"/>
        </w:trPr>
        <w:tc>
          <w:tcPr>
            <w:tcW w:w="9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9B0ABD">
        <w:trPr>
          <w:trHeight w:val="557"/>
        </w:trPr>
        <w:tc>
          <w:tcPr>
            <w:tcW w:w="9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9B0ABD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2D" w:rsidRDefault="00A26C2D" w:rsidP="00CA735C">
      <w:pPr>
        <w:spacing w:after="0" w:line="240" w:lineRule="auto"/>
      </w:pPr>
      <w:r>
        <w:separator/>
      </w:r>
    </w:p>
  </w:endnote>
  <w:endnote w:type="continuationSeparator" w:id="0">
    <w:p w:rsidR="00A26C2D" w:rsidRDefault="00A26C2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2D" w:rsidRDefault="00A26C2D" w:rsidP="00CA735C">
      <w:pPr>
        <w:spacing w:after="0" w:line="240" w:lineRule="auto"/>
      </w:pPr>
      <w:r>
        <w:separator/>
      </w:r>
    </w:p>
  </w:footnote>
  <w:footnote w:type="continuationSeparator" w:id="0">
    <w:p w:rsidR="00A26C2D" w:rsidRDefault="00A26C2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295F"/>
    <w:multiLevelType w:val="hybridMultilevel"/>
    <w:tmpl w:val="26980A78"/>
    <w:lvl w:ilvl="0" w:tplc="44D02C26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01DC"/>
    <w:multiLevelType w:val="hybridMultilevel"/>
    <w:tmpl w:val="66227E9E"/>
    <w:lvl w:ilvl="0" w:tplc="1616B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D4C36"/>
    <w:rsid w:val="00122262"/>
    <w:rsid w:val="0013598D"/>
    <w:rsid w:val="0030660B"/>
    <w:rsid w:val="00316522"/>
    <w:rsid w:val="00327007"/>
    <w:rsid w:val="003405A7"/>
    <w:rsid w:val="00374838"/>
    <w:rsid w:val="00412DA7"/>
    <w:rsid w:val="004D2653"/>
    <w:rsid w:val="004F5E75"/>
    <w:rsid w:val="00525CA7"/>
    <w:rsid w:val="0064649D"/>
    <w:rsid w:val="006D46D8"/>
    <w:rsid w:val="00781E0A"/>
    <w:rsid w:val="007B4D05"/>
    <w:rsid w:val="00854347"/>
    <w:rsid w:val="00963AAB"/>
    <w:rsid w:val="009B0ABD"/>
    <w:rsid w:val="00A26C2D"/>
    <w:rsid w:val="00A607CF"/>
    <w:rsid w:val="00B17AD2"/>
    <w:rsid w:val="00B20A83"/>
    <w:rsid w:val="00B3646E"/>
    <w:rsid w:val="00B443EF"/>
    <w:rsid w:val="00B46FA2"/>
    <w:rsid w:val="00B94039"/>
    <w:rsid w:val="00BF6B57"/>
    <w:rsid w:val="00C91207"/>
    <w:rsid w:val="00CA735C"/>
    <w:rsid w:val="00D027B3"/>
    <w:rsid w:val="00F461D2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26</cp:revision>
  <cp:lastPrinted>2016-05-21T14:46:00Z</cp:lastPrinted>
  <dcterms:created xsi:type="dcterms:W3CDTF">2016-04-20T09:14:00Z</dcterms:created>
  <dcterms:modified xsi:type="dcterms:W3CDTF">2016-12-21T07:04:00Z</dcterms:modified>
</cp:coreProperties>
</file>