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24F94"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F94" w:rsidRDefault="00724F94"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College  Name</w:t>
            </w:r>
          </w:p>
        </w:tc>
      </w:tr>
      <w:tr w:rsidR="00724F94"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F94" w:rsidRDefault="00724F94"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Department</w:t>
            </w:r>
          </w:p>
        </w:tc>
      </w:tr>
      <w:tr w:rsidR="00724F94"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F94" w:rsidRPr="003346A8" w:rsidRDefault="00724F94" w:rsidP="00316323">
            <w:pPr>
              <w:ind w:left="84"/>
              <w:rPr>
                <w:rFonts w:ascii="Times New Roman" w:hAnsi="Times New Roman"/>
                <w:b/>
                <w:bCs/>
                <w:sz w:val="32"/>
                <w:szCs w:val="32"/>
                <w:lang w:val="en-US"/>
              </w:rPr>
            </w:pPr>
            <w:bookmarkStart w:id="0" w:name="_GoBack"/>
            <w:r w:rsidRPr="003346A8">
              <w:rPr>
                <w:rFonts w:ascii="Times New Roman" w:hAnsi="Times New Roman"/>
                <w:b/>
                <w:bCs/>
                <w:sz w:val="32"/>
                <w:szCs w:val="32"/>
                <w:rtl/>
                <w:lang w:bidi="ar-IQ"/>
              </w:rPr>
              <w:t xml:space="preserve">تحسين عاصي جاسم </w:t>
            </w:r>
            <w:bookmarkEnd w:id="0"/>
            <w:proofErr w:type="spellStart"/>
            <w:r w:rsidRPr="003346A8">
              <w:rPr>
                <w:rFonts w:ascii="Times New Roman" w:hAnsi="Times New Roman"/>
                <w:b/>
                <w:bCs/>
                <w:sz w:val="32"/>
                <w:szCs w:val="32"/>
                <w:rtl/>
                <w:lang w:bidi="ar-IQ"/>
              </w:rPr>
              <w:t>الهميله</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Full Name as written   in Passport</w:t>
            </w:r>
          </w:p>
        </w:tc>
      </w:tr>
      <w:tr w:rsidR="00724F94"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4F94" w:rsidRDefault="00724F94"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e-mail</w:t>
            </w:r>
          </w:p>
        </w:tc>
      </w:tr>
      <w:tr w:rsidR="00724F94"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24F94" w:rsidRDefault="00724F9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257" name="شكل بيضاوي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Ay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P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MwDAy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24F94" w:rsidRDefault="00724F9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256" name="شكل بيضاوي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6e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0P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BuOOnt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24F94" w:rsidRPr="000309E2" w:rsidRDefault="00724F9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255" name="شكل بيضاوي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2w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BmBPbD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24F94" w:rsidRDefault="00724F94"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254" name="شكل بيضاوي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Mc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3H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NOigxz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 xml:space="preserve">Career </w:t>
            </w:r>
          </w:p>
        </w:tc>
      </w:tr>
      <w:tr w:rsidR="00724F94"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24F94" w:rsidRDefault="00724F94"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253" name="شكل بيضاوي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1+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GGMfX7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24F94" w:rsidRDefault="00724F94"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29845</wp:posOffset>
                      </wp:positionV>
                      <wp:extent cx="153035" cy="160020"/>
                      <wp:effectExtent l="22860" t="23495" r="33655" b="45085"/>
                      <wp:wrapNone/>
                      <wp:docPr id="252" name="شكل بيضاوي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2" o:spid="_x0000_s1026" style="position:absolute;left:0;text-align:left;margin-left:.9pt;margin-top:2.3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9c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4F94" w:rsidRDefault="00724F94" w:rsidP="00316323">
            <w:pPr>
              <w:ind w:left="84"/>
              <w:jc w:val="right"/>
              <w:rPr>
                <w:rFonts w:ascii="Tahoma" w:hAnsi="Tahoma" w:cs="Tahoma"/>
                <w:lang w:val="en-US" w:bidi="ar-IQ"/>
              </w:rPr>
            </w:pPr>
          </w:p>
        </w:tc>
      </w:tr>
      <w:tr w:rsidR="00724F94"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4F94" w:rsidRPr="003346A8" w:rsidRDefault="00724F94" w:rsidP="00316323">
            <w:pPr>
              <w:ind w:left="84"/>
              <w:jc w:val="center"/>
              <w:rPr>
                <w:rFonts w:ascii="Times New Roman" w:hAnsi="Times New Roman"/>
                <w:b/>
                <w:bCs/>
                <w:sz w:val="32"/>
                <w:szCs w:val="32"/>
                <w:rtl/>
                <w:lang w:bidi="ar-IQ"/>
              </w:rPr>
            </w:pPr>
            <w:r w:rsidRPr="003346A8">
              <w:rPr>
                <w:rFonts w:ascii="Times New Roman" w:hAnsi="Times New Roman"/>
                <w:b/>
                <w:bCs/>
                <w:sz w:val="32"/>
                <w:szCs w:val="32"/>
                <w:rtl/>
                <w:lang w:bidi="ar-IQ"/>
              </w:rPr>
              <w:t>إدارة المخاطرة في أسواق النفط العالمية - دراسة تطبيقية</w:t>
            </w:r>
          </w:p>
          <w:p w:rsidR="00724F94" w:rsidRPr="003346A8" w:rsidRDefault="00724F94" w:rsidP="00316323">
            <w:pPr>
              <w:ind w:left="84"/>
              <w:jc w:val="center"/>
              <w:rPr>
                <w:rFonts w:ascii="Times New Roman" w:hAnsi="Times New Roman"/>
                <w:b/>
                <w:bCs/>
                <w:i/>
                <w:iCs/>
                <w:sz w:val="32"/>
                <w:szCs w:val="32"/>
                <w:lang w:bidi="ar-IQ"/>
              </w:rPr>
            </w:pPr>
          </w:p>
          <w:p w:rsidR="00724F94" w:rsidRPr="00074D6C" w:rsidRDefault="00724F94" w:rsidP="00316323">
            <w:pPr>
              <w:ind w:left="84"/>
              <w:jc w:val="center"/>
              <w:rPr>
                <w:rFonts w:ascii="Times New Roman" w:hAnsi="Times New Roman"/>
                <w:b/>
                <w:bCs/>
                <w:sz w:val="32"/>
                <w:szCs w:val="32"/>
                <w:rtl/>
                <w:lang w:bidi="ar-AE"/>
              </w:rPr>
            </w:pPr>
          </w:p>
          <w:p w:rsidR="00724F94" w:rsidRPr="00074D6C" w:rsidRDefault="00724F94" w:rsidP="00316323">
            <w:pPr>
              <w:ind w:left="84"/>
              <w:rPr>
                <w:rFonts w:ascii="Times New Roman" w:hAnsi="Times New Roman"/>
                <w:b/>
                <w:bCs/>
                <w:sz w:val="32"/>
                <w:szCs w:val="32"/>
                <w:rtl/>
                <w:lang w:bidi="ar-AE"/>
              </w:rPr>
            </w:pPr>
          </w:p>
          <w:p w:rsidR="00724F94" w:rsidRPr="00074D6C" w:rsidRDefault="00724F94" w:rsidP="00316323">
            <w:pPr>
              <w:ind w:left="84"/>
              <w:rPr>
                <w:rFonts w:ascii="Times New Roman" w:hAnsi="Times New Roman"/>
                <w:b/>
                <w:bCs/>
                <w:sz w:val="32"/>
                <w:szCs w:val="32"/>
                <w:rtl/>
                <w:lang w:bidi="ar-AE"/>
              </w:rPr>
            </w:pPr>
          </w:p>
          <w:p w:rsidR="00724F94" w:rsidRDefault="00724F94"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 xml:space="preserve">Thesis  Title </w:t>
            </w:r>
          </w:p>
        </w:tc>
      </w:tr>
      <w:tr w:rsidR="00724F94"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F94" w:rsidRPr="003346A8" w:rsidRDefault="00724F94" w:rsidP="00316323">
            <w:pPr>
              <w:ind w:left="84"/>
              <w:jc w:val="center"/>
              <w:rPr>
                <w:rFonts w:ascii="Times New Roman" w:hAnsi="Times New Roman"/>
                <w:b/>
                <w:bCs/>
                <w:sz w:val="32"/>
                <w:szCs w:val="32"/>
                <w:rtl/>
                <w:lang w:bidi="ar-IQ"/>
              </w:rPr>
            </w:pPr>
            <w:r w:rsidRPr="003346A8">
              <w:rPr>
                <w:rFonts w:ascii="Times New Roman" w:hAnsi="Times New Roman"/>
                <w:b/>
                <w:bCs/>
                <w:sz w:val="32"/>
                <w:szCs w:val="32"/>
                <w:rtl/>
                <w:lang w:bidi="ar-IQ"/>
              </w:rPr>
              <w:t>2011م                                       1432هـ</w:t>
            </w:r>
          </w:p>
          <w:p w:rsidR="00724F94" w:rsidRDefault="00724F94"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F94" w:rsidRDefault="00724F94" w:rsidP="00316323">
            <w:pPr>
              <w:ind w:left="84"/>
              <w:jc w:val="right"/>
              <w:rPr>
                <w:rFonts w:ascii="Tahoma" w:hAnsi="Tahoma" w:cs="Tahoma"/>
                <w:lang w:val="en-US" w:bidi="ar-IQ"/>
              </w:rPr>
            </w:pPr>
            <w:r>
              <w:rPr>
                <w:rFonts w:ascii="Tahoma" w:hAnsi="Tahoma" w:cs="Tahoma"/>
                <w:lang w:val="en-US" w:bidi="ar-IQ"/>
              </w:rPr>
              <w:t>Year</w:t>
            </w:r>
          </w:p>
        </w:tc>
      </w:tr>
      <w:tr w:rsidR="00724F94"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24F94" w:rsidRPr="003346A8" w:rsidRDefault="00724F94" w:rsidP="00316323">
            <w:pPr>
              <w:ind w:left="84"/>
              <w:jc w:val="lowKashida"/>
              <w:rPr>
                <w:rFonts w:ascii="Times New Roman" w:hAnsi="Times New Roman"/>
                <w:b/>
                <w:bCs/>
                <w:rtl/>
                <w:lang w:val="et-EE" w:bidi="ar-IQ"/>
              </w:rPr>
            </w:pPr>
            <w:r w:rsidRPr="00074D6C">
              <w:rPr>
                <w:rFonts w:ascii="Times New Roman" w:hAnsi="Times New Roman"/>
                <w:b/>
                <w:bCs/>
                <w:sz w:val="20"/>
                <w:szCs w:val="20"/>
                <w:rtl/>
                <w:lang w:bidi="ar-IQ"/>
              </w:rPr>
              <w:t xml:space="preserve"> </w:t>
            </w:r>
            <w:r w:rsidRPr="003346A8">
              <w:rPr>
                <w:rFonts w:ascii="Times New Roman" w:hAnsi="Times New Roman"/>
                <w:b/>
                <w:bCs/>
                <w:rtl/>
                <w:lang w:val="et-EE" w:bidi="ar-IQ"/>
              </w:rPr>
              <w:t xml:space="preserve">تعدّ المخاطرة السعرية احدى أهم المخاطر التي </w:t>
            </w:r>
            <w:proofErr w:type="gramStart"/>
            <w:r w:rsidRPr="003346A8">
              <w:rPr>
                <w:rFonts w:ascii="Times New Roman" w:hAnsi="Times New Roman"/>
                <w:b/>
                <w:bCs/>
                <w:rtl/>
                <w:lang w:val="et-EE" w:bidi="ar-IQ"/>
              </w:rPr>
              <w:t>تواجه</w:t>
            </w:r>
            <w:proofErr w:type="gramEnd"/>
            <w:r w:rsidRPr="003346A8">
              <w:rPr>
                <w:rFonts w:ascii="Times New Roman" w:hAnsi="Times New Roman"/>
                <w:b/>
                <w:bCs/>
                <w:rtl/>
                <w:lang w:val="et-EE" w:bidi="ar-IQ"/>
              </w:rPr>
              <w:t xml:space="preserve"> الشركات المنتجة والمصدّرة للنفط الخام ، ولمواجهة هذه المخاطر لابد من استخدام احدى أدوات إدارة المخاطرة ، وعلى ذلك الأساس جاءت هذه الدراسة في تقديم إطار معرفي وتطبيقي لطبيعة وكيفية استخدام العقود الآجلة وعقود المشاركة بالمخاطرة في توفير الحماية من تقلبات الأسعار الفورية للنفط الخام ثم تخفيض الخسائر الناجمة عن ذلك وتخفيض مخاطر الأسعار تباعاً . ولكون النفط الخام يعدّ أهم السلع التي يعتمد عليها </w:t>
            </w:r>
            <w:proofErr w:type="spellStart"/>
            <w:r w:rsidRPr="003346A8">
              <w:rPr>
                <w:rFonts w:ascii="Times New Roman" w:hAnsi="Times New Roman"/>
                <w:b/>
                <w:bCs/>
                <w:rtl/>
                <w:lang w:val="et-EE" w:bidi="ar-IQ"/>
              </w:rPr>
              <w:t>الإقتصاد</w:t>
            </w:r>
            <w:proofErr w:type="spellEnd"/>
            <w:r w:rsidRPr="003346A8">
              <w:rPr>
                <w:rFonts w:ascii="Times New Roman" w:hAnsi="Times New Roman"/>
                <w:b/>
                <w:bCs/>
                <w:rtl/>
                <w:lang w:val="et-EE" w:bidi="ar-IQ"/>
              </w:rPr>
              <w:t xml:space="preserve"> العراقي في إيراداته ، فقد انصبّ </w:t>
            </w:r>
            <w:proofErr w:type="spellStart"/>
            <w:r w:rsidRPr="003346A8">
              <w:rPr>
                <w:rFonts w:ascii="Times New Roman" w:hAnsi="Times New Roman"/>
                <w:b/>
                <w:bCs/>
                <w:rtl/>
                <w:lang w:val="et-EE" w:bidi="ar-IQ"/>
              </w:rPr>
              <w:t>إهتمام</w:t>
            </w:r>
            <w:proofErr w:type="spellEnd"/>
            <w:r w:rsidRPr="003346A8">
              <w:rPr>
                <w:rFonts w:ascii="Times New Roman" w:hAnsi="Times New Roman"/>
                <w:b/>
                <w:bCs/>
                <w:rtl/>
                <w:lang w:val="et-EE" w:bidi="ar-IQ"/>
              </w:rPr>
              <w:t xml:space="preserve"> هذه الدراسة على أن يكون نفط خام البصرة العراقي هو مجال التحليل التطبيقي عن طريق استخدام العقود الآجلة وعقود المشاركة بالمخاطرة في تحويط المخاطرة السعرية لنفط خام البصرة العراقي . وقد اعتمدت هذه الدراسة على فرضيتين أساسيتين هما :</w:t>
            </w:r>
          </w:p>
          <w:p w:rsidR="00724F94" w:rsidRPr="003346A8" w:rsidRDefault="00724F94" w:rsidP="00316323">
            <w:pPr>
              <w:ind w:left="84"/>
              <w:jc w:val="lowKashida"/>
              <w:rPr>
                <w:rFonts w:ascii="Times New Roman" w:hAnsi="Times New Roman"/>
                <w:b/>
                <w:bCs/>
                <w:rtl/>
                <w:lang w:val="et-EE" w:bidi="ar-IQ"/>
              </w:rPr>
            </w:pPr>
            <w:r w:rsidRPr="003346A8">
              <w:rPr>
                <w:rFonts w:ascii="Times New Roman" w:hAnsi="Times New Roman"/>
                <w:b/>
                <w:bCs/>
                <w:rtl/>
                <w:lang w:val="et-EE" w:bidi="ar-IQ"/>
              </w:rPr>
              <w:t>1-إن استخدام العقود الآجلة يؤدي الى تخفيض المخاطرة السعرية لنفط خام البصرة العراقي.</w:t>
            </w:r>
          </w:p>
          <w:p w:rsidR="00724F94" w:rsidRPr="003346A8" w:rsidRDefault="00724F94" w:rsidP="00316323">
            <w:pPr>
              <w:ind w:left="84"/>
              <w:jc w:val="lowKashida"/>
              <w:rPr>
                <w:rFonts w:ascii="Times New Roman" w:hAnsi="Times New Roman"/>
                <w:b/>
                <w:bCs/>
                <w:lang w:val="et-EE" w:bidi="ar-IQ"/>
              </w:rPr>
            </w:pPr>
            <w:r w:rsidRPr="003346A8">
              <w:rPr>
                <w:rFonts w:ascii="Times New Roman" w:hAnsi="Times New Roman"/>
                <w:b/>
                <w:bCs/>
                <w:rtl/>
                <w:lang w:val="et-EE" w:bidi="ar-IQ"/>
              </w:rPr>
              <w:t>2-إن استخدام عقود المشاركة بالمخاطرة يؤدي الى تخفيض المخاطرة السعرية لنفط خام البصرة العراقي .</w:t>
            </w:r>
          </w:p>
          <w:p w:rsidR="00724F94" w:rsidRPr="003346A8" w:rsidRDefault="00724F94" w:rsidP="00316323">
            <w:pPr>
              <w:ind w:left="84"/>
              <w:jc w:val="lowKashida"/>
              <w:rPr>
                <w:rFonts w:ascii="Times New Roman" w:hAnsi="Times New Roman"/>
                <w:b/>
                <w:bCs/>
                <w:rtl/>
                <w:lang w:val="et-EE" w:bidi="ar-IQ"/>
              </w:rPr>
            </w:pPr>
            <w:r w:rsidRPr="003346A8">
              <w:rPr>
                <w:rFonts w:ascii="Times New Roman" w:hAnsi="Times New Roman"/>
                <w:b/>
                <w:bCs/>
                <w:rtl/>
                <w:lang w:val="et-EE" w:bidi="ar-IQ"/>
              </w:rPr>
              <w:t xml:space="preserve"> وقد استخلصت هذه الدراسة مجموعة من </w:t>
            </w:r>
            <w:proofErr w:type="spellStart"/>
            <w:r w:rsidRPr="003346A8">
              <w:rPr>
                <w:rFonts w:ascii="Times New Roman" w:hAnsi="Times New Roman"/>
                <w:b/>
                <w:bCs/>
                <w:rtl/>
                <w:lang w:val="et-EE" w:bidi="ar-IQ"/>
              </w:rPr>
              <w:t>الإستنتاجات</w:t>
            </w:r>
            <w:proofErr w:type="spellEnd"/>
            <w:r w:rsidRPr="003346A8">
              <w:rPr>
                <w:rFonts w:ascii="Times New Roman" w:hAnsi="Times New Roman"/>
                <w:b/>
                <w:bCs/>
                <w:rtl/>
                <w:lang w:val="et-EE" w:bidi="ar-IQ"/>
              </w:rPr>
              <w:t xml:space="preserve"> أهمها :</w:t>
            </w:r>
          </w:p>
          <w:p w:rsidR="00724F94" w:rsidRPr="003346A8" w:rsidRDefault="00724F94" w:rsidP="00316323">
            <w:pPr>
              <w:ind w:left="84"/>
              <w:jc w:val="lowKashida"/>
              <w:rPr>
                <w:rFonts w:ascii="Times New Roman" w:hAnsi="Times New Roman"/>
                <w:b/>
                <w:bCs/>
                <w:rtl/>
                <w:lang w:val="et-EE" w:bidi="ar-IQ"/>
              </w:rPr>
            </w:pPr>
            <w:r w:rsidRPr="003346A8">
              <w:rPr>
                <w:rFonts w:ascii="Times New Roman" w:hAnsi="Times New Roman"/>
                <w:b/>
                <w:bCs/>
                <w:rtl/>
                <w:lang w:val="et-EE" w:bidi="ar-IQ"/>
              </w:rPr>
              <w:t>1-إن استخدام العقود يؤدي الى تخفيض المخاطرة السعرية لنفط خام البصرة العراقي عن طريق تثبيت أسعار النفط في المستقبل ، كما تؤدي الى تحقيق الأرباح الخالية من المخاطرة عند انخفاض الأسعار الفورية للنفط الخام عن سعر التنفيذ المحدد في العقد الآجل .</w:t>
            </w:r>
          </w:p>
          <w:p w:rsidR="00724F94" w:rsidRPr="003346A8" w:rsidRDefault="00724F94" w:rsidP="00316323">
            <w:pPr>
              <w:ind w:left="84"/>
              <w:jc w:val="lowKashida"/>
              <w:rPr>
                <w:rFonts w:ascii="Times New Roman" w:hAnsi="Times New Roman"/>
                <w:b/>
                <w:bCs/>
                <w:lang w:val="et-EE" w:bidi="ar-IQ"/>
              </w:rPr>
            </w:pPr>
            <w:r w:rsidRPr="003346A8">
              <w:rPr>
                <w:rFonts w:ascii="Times New Roman" w:hAnsi="Times New Roman"/>
                <w:b/>
                <w:bCs/>
                <w:rtl/>
                <w:lang w:val="et-EE" w:bidi="ar-IQ"/>
              </w:rPr>
              <w:t>2-إن استخدام العقود الآجلة يؤدي الى ضياع فرصة تحقيق أرباح إضافية في حال ارتفعت الأسعار الفورية للنفط الخام عن سعر التنفيذ المحدد في العقد الآجل .</w:t>
            </w:r>
          </w:p>
          <w:p w:rsidR="00724F94" w:rsidRPr="003346A8" w:rsidRDefault="00724F94" w:rsidP="00316323">
            <w:pPr>
              <w:ind w:left="84"/>
              <w:jc w:val="lowKashida"/>
              <w:rPr>
                <w:rFonts w:ascii="Times New Roman" w:hAnsi="Times New Roman"/>
                <w:b/>
                <w:bCs/>
                <w:lang w:val="et-EE" w:bidi="ar-IQ"/>
              </w:rPr>
            </w:pPr>
            <w:r w:rsidRPr="003346A8">
              <w:rPr>
                <w:rFonts w:ascii="Times New Roman" w:hAnsi="Times New Roman"/>
                <w:b/>
                <w:bCs/>
                <w:rtl/>
                <w:lang w:val="et-EE" w:bidi="ar-IQ"/>
              </w:rPr>
              <w:t>3-إن استخدام عقود المشاركة بالمخاطرة تؤدي الى تخفيض المخاطرة السعرية للنفط الخام بنسبة (50%) من الخسائر المتحققة من جراء انخفاض أسعار النفط الخام بالنسبة للطرف الأول (ناقل المخاطرة) عن طريق نقل (50%) من الخسائر المتحققة ناقصاً علاوة المشاركة بالمخاطرة إلى الطرف الثاني (المشارك بتحمل المخاطرة) .</w:t>
            </w:r>
          </w:p>
          <w:p w:rsidR="00724F94" w:rsidRPr="003346A8" w:rsidRDefault="00724F94" w:rsidP="00316323">
            <w:pPr>
              <w:ind w:left="84"/>
              <w:jc w:val="lowKashida"/>
              <w:rPr>
                <w:rFonts w:ascii="Times New Roman" w:hAnsi="Times New Roman"/>
                <w:b/>
                <w:bCs/>
                <w:lang w:val="et-EE" w:bidi="ar-IQ"/>
              </w:rPr>
            </w:pPr>
            <w:r w:rsidRPr="003346A8">
              <w:rPr>
                <w:rFonts w:ascii="Times New Roman" w:hAnsi="Times New Roman"/>
                <w:b/>
                <w:bCs/>
                <w:rtl/>
                <w:lang w:val="et-EE" w:bidi="ar-IQ"/>
              </w:rPr>
              <w:t>4-إن استخدام عقود المشاركة بالمخاطرة يؤدي إلى تعظيم الأرباح كنتيجة لارتفاع الأسعار الفورية للنفط الخام عن سعر التنفيذ المحدد في عقد المشاركة .</w:t>
            </w:r>
          </w:p>
          <w:p w:rsidR="00724F94" w:rsidRPr="003346A8" w:rsidRDefault="00724F94" w:rsidP="00316323">
            <w:pPr>
              <w:ind w:left="84"/>
              <w:jc w:val="lowKashida"/>
              <w:rPr>
                <w:rFonts w:ascii="Times New Roman" w:hAnsi="Times New Roman"/>
                <w:b/>
                <w:bCs/>
                <w:lang w:val="et-EE" w:bidi="ar-IQ"/>
              </w:rPr>
            </w:pPr>
            <w:r w:rsidRPr="003346A8">
              <w:rPr>
                <w:rFonts w:ascii="Times New Roman" w:hAnsi="Times New Roman"/>
                <w:b/>
                <w:bCs/>
                <w:rtl/>
                <w:lang w:val="et-EE" w:bidi="ar-IQ"/>
              </w:rPr>
              <w:t>5-كما سيحقق الطرف الثاني (المشارك بتحمل المخاطرة) أرباحاً صافية بصورة علاوة للمشاركة بالمخاطرة بنسبة (5%) من قيمة الأرباح المتحققة للطرف الأول (ناقل المخاطرة) عند ارتفاع الأسعار الفورية للنفط الخام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24F94" w:rsidRDefault="00724F94" w:rsidP="00316323">
            <w:pPr>
              <w:spacing w:line="360" w:lineRule="auto"/>
              <w:ind w:left="84"/>
              <w:rPr>
                <w:rFonts w:ascii="Tahoma" w:hAnsi="Tahoma" w:cs="Tahoma"/>
                <w:sz w:val="14"/>
                <w:szCs w:val="14"/>
                <w:rtl/>
                <w:lang w:val="en-US" w:bidi="ar-IQ"/>
              </w:rPr>
            </w:pPr>
          </w:p>
          <w:p w:rsidR="00724F94" w:rsidRDefault="00724F94" w:rsidP="00316323">
            <w:pPr>
              <w:spacing w:line="360" w:lineRule="auto"/>
              <w:ind w:left="84"/>
              <w:jc w:val="right"/>
              <w:rPr>
                <w:rFonts w:ascii="Tahoma" w:hAnsi="Tahoma" w:cs="Tahoma"/>
                <w:sz w:val="14"/>
                <w:szCs w:val="14"/>
                <w:rtl/>
                <w:lang w:val="en-US" w:bidi="ar-IQ"/>
              </w:rPr>
            </w:pPr>
          </w:p>
          <w:p w:rsidR="00724F94" w:rsidRPr="00C06548" w:rsidRDefault="00724F94"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724F94" w:rsidRDefault="0055715B" w:rsidP="00724F94">
      <w:pPr>
        <w:rPr>
          <w:rFonts w:hint="cs"/>
          <w:lang w:bidi="ar-IQ"/>
        </w:rPr>
      </w:pPr>
    </w:p>
    <w:sectPr w:rsidR="0055715B" w:rsidRPr="00724F9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6">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6"/>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4"/>
  </w:num>
  <w:num w:numId="10">
    <w:abstractNumId w:val="10"/>
  </w:num>
  <w:num w:numId="11">
    <w:abstractNumId w:val="1"/>
  </w:num>
  <w:num w:numId="12">
    <w:abstractNumId w:val="8"/>
  </w:num>
  <w:num w:numId="13">
    <w:abstractNumId w:val="5"/>
  </w:num>
  <w:num w:numId="14">
    <w:abstractNumId w:val="7"/>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24F94"/>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2015-05-27T09:32:00Z</dcterms:created>
  <dcterms:modified xsi:type="dcterms:W3CDTF">2015-05-27T09:32:00Z</dcterms:modified>
</cp:coreProperties>
</file>