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9750E7"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750E7" w:rsidRDefault="009750E7"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College  Name</w:t>
            </w:r>
          </w:p>
        </w:tc>
      </w:tr>
      <w:tr w:rsidR="009750E7"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750E7" w:rsidRDefault="009750E7"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Department</w:t>
            </w:r>
          </w:p>
        </w:tc>
      </w:tr>
      <w:tr w:rsidR="009750E7"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750E7" w:rsidRPr="00C579B5" w:rsidRDefault="009750E7" w:rsidP="00C81E8B">
            <w:pPr>
              <w:rPr>
                <w:rFonts w:ascii="Times New Roman" w:hAnsi="Times New Roman"/>
                <w:b/>
                <w:bCs/>
                <w:sz w:val="32"/>
                <w:szCs w:val="32"/>
                <w:lang w:val="en-US"/>
              </w:rPr>
            </w:pPr>
            <w:bookmarkStart w:id="0" w:name="_GoBack"/>
            <w:r w:rsidRPr="00C579B5">
              <w:rPr>
                <w:b/>
                <w:bCs/>
                <w:sz w:val="32"/>
                <w:szCs w:val="32"/>
                <w:rtl/>
              </w:rPr>
              <w:t xml:space="preserve">ألاء نبيل عبد الرزاق </w:t>
            </w:r>
            <w:bookmarkEnd w:id="0"/>
            <w:r w:rsidRPr="00C579B5">
              <w:rPr>
                <w:b/>
                <w:bCs/>
                <w:sz w:val="32"/>
                <w:szCs w:val="32"/>
                <w:rtl/>
              </w:rPr>
              <w:t xml:space="preserve">احمد </w:t>
            </w:r>
            <w:proofErr w:type="spellStart"/>
            <w:r w:rsidRPr="00C579B5">
              <w:rPr>
                <w:b/>
                <w:bCs/>
                <w:sz w:val="32"/>
                <w:szCs w:val="32"/>
                <w:rtl/>
              </w:rPr>
              <w:t>الحيالي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Full Name as written   in Passport</w:t>
            </w:r>
          </w:p>
        </w:tc>
      </w:tr>
      <w:tr w:rsidR="009750E7"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750E7" w:rsidRDefault="009750E7"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e-mail</w:t>
            </w:r>
          </w:p>
        </w:tc>
      </w:tr>
      <w:tr w:rsidR="009750E7"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9750E7" w:rsidRDefault="009750E7"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4605" r="9525" b="635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9750E7" w:rsidRDefault="009750E7"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5240" r="12065" b="1524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9750E7" w:rsidRDefault="009750E7"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4605" r="10160" b="635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9750E7" w:rsidRDefault="009750E7"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350" r="13335" b="1460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 xml:space="preserve">Career </w:t>
            </w:r>
          </w:p>
        </w:tc>
      </w:tr>
      <w:tr w:rsidR="009750E7"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9750E7" w:rsidRDefault="009750E7"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335" r="12065" b="762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9750E7" w:rsidRDefault="009750E7"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2860" r="38100" b="4572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750E7" w:rsidRDefault="009750E7" w:rsidP="00C81E8B">
            <w:pPr>
              <w:jc w:val="right"/>
              <w:rPr>
                <w:rFonts w:ascii="Tahoma" w:hAnsi="Tahoma" w:cs="Tahoma"/>
                <w:lang w:val="en-US" w:bidi="ar-IQ"/>
              </w:rPr>
            </w:pPr>
          </w:p>
        </w:tc>
      </w:tr>
      <w:tr w:rsidR="009750E7" w:rsidTr="00C81E8B">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750E7" w:rsidRPr="00C579B5" w:rsidRDefault="009750E7" w:rsidP="00C81E8B">
            <w:pPr>
              <w:pStyle w:val="a3"/>
              <w:rPr>
                <w:rFonts w:cs="Times New Roman"/>
                <w:i/>
                <w:iCs/>
                <w:sz w:val="28"/>
                <w:szCs w:val="28"/>
                <w:rtl/>
              </w:rPr>
            </w:pPr>
            <w:r w:rsidRPr="00C579B5">
              <w:rPr>
                <w:rFonts w:cs="Times New Roman"/>
                <w:i/>
                <w:iCs/>
                <w:sz w:val="28"/>
                <w:szCs w:val="28"/>
                <w:rtl/>
              </w:rPr>
              <w:t>استراتيجية تصميم وتغليف العبوات الدوائية وأهميتها في تدفق وانسيابية المنتجات الدوائية دراسة استطلاعية لآراء عينة من الصيادلة والأطباء في مدينة الموصل</w:t>
            </w:r>
          </w:p>
          <w:p w:rsidR="009750E7" w:rsidRPr="00C579B5" w:rsidRDefault="009750E7" w:rsidP="00C81E8B">
            <w:pPr>
              <w:pStyle w:val="a3"/>
              <w:rPr>
                <w:rFonts w:cs="Times New Roman"/>
                <w:i/>
                <w:iCs/>
                <w:sz w:val="28"/>
                <w:szCs w:val="28"/>
                <w:rtl/>
              </w:rPr>
            </w:pPr>
          </w:p>
          <w:p w:rsidR="009750E7" w:rsidRPr="00C579B5" w:rsidRDefault="009750E7" w:rsidP="00C81E8B">
            <w:pPr>
              <w:pStyle w:val="a3"/>
              <w:rPr>
                <w:rFonts w:cs="Times New Roman"/>
                <w:sz w:val="28"/>
                <w:szCs w:val="28"/>
                <w:rtl/>
              </w:rPr>
            </w:pPr>
          </w:p>
          <w:p w:rsidR="009750E7" w:rsidRPr="00C579B5" w:rsidRDefault="009750E7" w:rsidP="00C81E8B">
            <w:pPr>
              <w:pStyle w:val="a3"/>
              <w:rPr>
                <w:rFonts w:cs="Times New Roman"/>
                <w:sz w:val="32"/>
                <w:szCs w:val="32"/>
                <w:rtl/>
              </w:rPr>
            </w:pPr>
            <w:r w:rsidRPr="00C579B5">
              <w:rPr>
                <w:rFonts w:cs="Times New Roman"/>
                <w:sz w:val="32"/>
                <w:szCs w:val="32"/>
                <w:rtl/>
              </w:rPr>
              <w:t xml:space="preserve"> </w:t>
            </w:r>
          </w:p>
          <w:p w:rsidR="009750E7" w:rsidRPr="00C579B5" w:rsidRDefault="009750E7" w:rsidP="00C81E8B">
            <w:pPr>
              <w:pStyle w:val="a3"/>
              <w:rPr>
                <w:rFonts w:cs="Times New Roman"/>
                <w:sz w:val="32"/>
                <w:szCs w:val="32"/>
                <w:rtl/>
              </w:rPr>
            </w:pPr>
          </w:p>
          <w:p w:rsidR="009750E7" w:rsidRDefault="009750E7" w:rsidP="00C81E8B">
            <w:pPr>
              <w:jc w:val="center"/>
              <w:rPr>
                <w:b/>
                <w:bCs/>
                <w:rtl/>
              </w:rPr>
            </w:pPr>
          </w:p>
          <w:p w:rsidR="009750E7" w:rsidRDefault="009750E7" w:rsidP="00C81E8B">
            <w:pPr>
              <w:jc w:val="center"/>
              <w:rPr>
                <w:rFonts w:ascii="Times New Roman" w:hAnsi="Times New Roman"/>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 xml:space="preserve">Thesis  Title </w:t>
            </w:r>
          </w:p>
        </w:tc>
      </w:tr>
      <w:tr w:rsidR="009750E7" w:rsidTr="00C81E8B">
        <w:trPr>
          <w:trHeight w:hRule="exact" w:val="4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750E7" w:rsidRPr="00C579B5" w:rsidRDefault="009750E7" w:rsidP="00C81E8B">
            <w:pPr>
              <w:rPr>
                <w:b/>
                <w:bCs/>
                <w:sz w:val="32"/>
                <w:szCs w:val="32"/>
              </w:rPr>
            </w:pPr>
            <w:r w:rsidRPr="00C579B5">
              <w:rPr>
                <w:b/>
                <w:bCs/>
                <w:sz w:val="32"/>
                <w:szCs w:val="32"/>
                <w:rtl/>
              </w:rPr>
              <w:t>1426هـ</w:t>
            </w:r>
            <w:r w:rsidRPr="00C579B5">
              <w:rPr>
                <w:rFonts w:hint="cs"/>
                <w:b/>
                <w:bCs/>
                <w:sz w:val="32"/>
                <w:szCs w:val="32"/>
                <w:rtl/>
              </w:rPr>
              <w:t xml:space="preserve">                                                                          </w:t>
            </w:r>
            <w:r w:rsidRPr="00C579B5">
              <w:rPr>
                <w:b/>
                <w:bCs/>
                <w:sz w:val="32"/>
                <w:szCs w:val="32"/>
                <w:rtl/>
              </w:rPr>
              <w:t>2005م</w:t>
            </w:r>
          </w:p>
          <w:p w:rsidR="009750E7" w:rsidRDefault="009750E7" w:rsidP="00C81E8B"/>
          <w:p w:rsidR="009750E7" w:rsidRDefault="009750E7" w:rsidP="00C81E8B">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750E7" w:rsidRDefault="009750E7" w:rsidP="00C81E8B">
            <w:pPr>
              <w:jc w:val="right"/>
              <w:rPr>
                <w:rFonts w:ascii="Tahoma" w:hAnsi="Tahoma" w:cs="Tahoma"/>
                <w:lang w:val="en-US" w:bidi="ar-IQ"/>
              </w:rPr>
            </w:pPr>
            <w:r>
              <w:rPr>
                <w:rFonts w:ascii="Tahoma" w:hAnsi="Tahoma" w:cs="Tahoma"/>
                <w:lang w:val="en-US" w:bidi="ar-IQ"/>
              </w:rPr>
              <w:t>Year</w:t>
            </w:r>
          </w:p>
        </w:tc>
      </w:tr>
      <w:tr w:rsidR="009750E7" w:rsidRPr="00C06548" w:rsidTr="00C81E8B">
        <w:trPr>
          <w:trHeight w:val="678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750E7" w:rsidRPr="00C579B5" w:rsidRDefault="009750E7" w:rsidP="00C81E8B">
            <w:pPr>
              <w:pStyle w:val="a4"/>
              <w:ind w:left="0"/>
              <w:rPr>
                <w:b/>
                <w:bCs/>
                <w:sz w:val="20"/>
                <w:szCs w:val="20"/>
                <w:rtl/>
              </w:rPr>
            </w:pPr>
            <w:r w:rsidRPr="00C579B5">
              <w:rPr>
                <w:b/>
                <w:bCs/>
                <w:sz w:val="20"/>
                <w:szCs w:val="20"/>
                <w:rtl/>
              </w:rPr>
              <w:t xml:space="preserve">تناولت الدراسة مدى مراعاة منظمات الدواء العراقية لاعتبارات النقل والتخزين والعرض والترويج للدواء من خلال التغليف الفاعل الذي يفترض أن يراعي هذه الاعتبارات وكذلك ينبغي احتواؤه على كافة البيانات الضرورية التي لا بد من تثبيتها على الغلاف الخارجي ، فالمشكلة تكمن في عدم وضوح الرؤية في التعامل مع الدواء والمستلزمات الطبية من خلال التعبئة والتغليف والذي ادى الى ظهور هفوات يكون ضحيتها المريض . وتم استطلاع آراء الوسطاء الصيادلة من جهة والأطباء </w:t>
            </w:r>
            <w:proofErr w:type="spellStart"/>
            <w:r w:rsidRPr="00C579B5">
              <w:rPr>
                <w:b/>
                <w:bCs/>
                <w:sz w:val="20"/>
                <w:szCs w:val="20"/>
                <w:rtl/>
              </w:rPr>
              <w:t>الوصافون</w:t>
            </w:r>
            <w:proofErr w:type="spellEnd"/>
            <w:r w:rsidRPr="00C579B5">
              <w:rPr>
                <w:b/>
                <w:bCs/>
                <w:sz w:val="20"/>
                <w:szCs w:val="20"/>
                <w:rtl/>
              </w:rPr>
              <w:t xml:space="preserve"> للدواء من جهة أخرى عن مدى الترابط الحاصل في التعامل مع الدواء من خلال الحقائق والبيانات المثبتة على الغلاف الخارجي ، ووفق معايير تتعلق غالبيتها بالغلاف والمظهر الخارجي للدواء ، وقد كان للإجابات من تأثير واضح في عدم الأخذ بالتعبئة والتغليف للدواء على نحو جدي ، في وقت  شهدت أسواق العالم تشريعات وسن قوانين واسعة المفهوم والمدى لتعزيز العلاقة بين المريض والدواء وحفظا على حياة المريض التي باتت بين توصية الطبيب وتنفيذ الصيدلي ، منعا من اية تجاوزات قد تعزى الى غياب المعلومة السليمة للدواء واستخدامه في المجتمع .وبناءً على تشخيص العوامل الرئيسة للدراسة فقد تم تأشير مجموعة من الاستنتاجات نذكر منها : </w:t>
            </w:r>
          </w:p>
          <w:p w:rsidR="009750E7" w:rsidRPr="00C579B5" w:rsidRDefault="009750E7" w:rsidP="009750E7">
            <w:pPr>
              <w:numPr>
                <w:ilvl w:val="0"/>
                <w:numId w:val="1"/>
              </w:numPr>
              <w:ind w:left="0" w:firstLine="0"/>
              <w:jc w:val="lowKashida"/>
              <w:rPr>
                <w:b/>
                <w:bCs/>
                <w:sz w:val="20"/>
                <w:szCs w:val="20"/>
                <w:rtl/>
              </w:rPr>
            </w:pPr>
            <w:r w:rsidRPr="00C579B5">
              <w:rPr>
                <w:b/>
                <w:bCs/>
                <w:sz w:val="20"/>
                <w:szCs w:val="20"/>
                <w:rtl/>
              </w:rPr>
              <w:t xml:space="preserve">كشفت النتائج الميدانية للدراسة ولإجابات الصيادلة عن وجود بعض العوامل المؤثرة في تدفق وانسيابية الأدوية منها عدم كفاءة النقل والخزن والتعبئة والتغليف الذي يؤدي الى ضعف المحافظة على الأدوية وخصائصها وكذلك قلة البيانات المدونة على الأغلفة الخارجية للأدوية وغياب حالة التوحيد وعدم الأخذ بالاعتبار ان بعض الأدوية تحتاج الى معدات خاصة للنقل . </w:t>
            </w:r>
          </w:p>
          <w:p w:rsidR="009750E7" w:rsidRPr="00C579B5" w:rsidRDefault="009750E7" w:rsidP="009750E7">
            <w:pPr>
              <w:numPr>
                <w:ilvl w:val="0"/>
                <w:numId w:val="1"/>
              </w:numPr>
              <w:ind w:left="0" w:firstLine="0"/>
              <w:jc w:val="lowKashida"/>
              <w:rPr>
                <w:b/>
                <w:bCs/>
                <w:sz w:val="20"/>
                <w:szCs w:val="20"/>
                <w:rtl/>
              </w:rPr>
            </w:pPr>
            <w:r w:rsidRPr="00C579B5">
              <w:rPr>
                <w:b/>
                <w:bCs/>
                <w:sz w:val="20"/>
                <w:szCs w:val="20"/>
                <w:rtl/>
              </w:rPr>
              <w:t xml:space="preserve">كشفت النتائج الميدانية ان الشكل المميز لغلاف الدواء له أهمية كبيرة فهو يسهل من عملية حفظ وصرف الأدوية ويسهل استخدامها لدى المرضى وتبين كذلك ان المرضى لا يستطيعون التميز بين الأدوية لتشابه بطاقات التبيين المثبتة على العبوة من حيث لونها وطباعتها وتشابه لون العبوات . </w:t>
            </w:r>
          </w:p>
          <w:p w:rsidR="009750E7" w:rsidRPr="00C579B5" w:rsidRDefault="009750E7" w:rsidP="009750E7">
            <w:pPr>
              <w:numPr>
                <w:ilvl w:val="0"/>
                <w:numId w:val="1"/>
              </w:numPr>
              <w:ind w:left="0" w:firstLine="0"/>
              <w:jc w:val="lowKashida"/>
              <w:rPr>
                <w:b/>
                <w:bCs/>
                <w:sz w:val="20"/>
                <w:szCs w:val="20"/>
                <w:rtl/>
              </w:rPr>
            </w:pPr>
            <w:r w:rsidRPr="00C579B5">
              <w:rPr>
                <w:b/>
                <w:bCs/>
                <w:sz w:val="20"/>
                <w:szCs w:val="20"/>
                <w:rtl/>
              </w:rPr>
              <w:t xml:space="preserve">شخصت الدراسة عاملا مهما هو سهولة غلق وفتح الغطاء فهو يؤثر على صلاحية الدواء بتعرضه للتلف وفقدان خصائصه ، وتبين ان منظمات الدواء العراقية لا تستخدم الأغطية البلاستيكية التي تستخدمها مثيلاتها من عبوات الشراب الأجنبية والتي تمتاز بسهولة الفتح والغلق والتي تحافظ على محتوياتها ولفترات أطول . </w:t>
            </w:r>
          </w:p>
          <w:p w:rsidR="009750E7" w:rsidRPr="00C579B5" w:rsidRDefault="009750E7" w:rsidP="009750E7">
            <w:pPr>
              <w:numPr>
                <w:ilvl w:val="0"/>
                <w:numId w:val="1"/>
              </w:numPr>
              <w:ind w:left="0" w:firstLine="0"/>
              <w:jc w:val="lowKashida"/>
              <w:rPr>
                <w:b/>
                <w:bCs/>
                <w:sz w:val="20"/>
                <w:szCs w:val="20"/>
                <w:rtl/>
              </w:rPr>
            </w:pPr>
            <w:r w:rsidRPr="00C579B5">
              <w:rPr>
                <w:b/>
                <w:bCs/>
                <w:sz w:val="20"/>
                <w:szCs w:val="20"/>
                <w:rtl/>
              </w:rPr>
              <w:t xml:space="preserve">كشفت النتائج الميدانية للدراسة ولإجابات الأطباء عن حدوث أخطاء علاجية يكون سببها عدم وضوح البيانات المدونة على غلاف الدواء بشكل كافٍ وغياب اللغة العربية والتشابه في شكل العبوة او الغلاف . </w:t>
            </w:r>
          </w:p>
          <w:p w:rsidR="009750E7" w:rsidRPr="00C579B5" w:rsidRDefault="009750E7" w:rsidP="00C81E8B">
            <w:pPr>
              <w:jc w:val="lowKashida"/>
              <w:rPr>
                <w:b/>
                <w:bCs/>
                <w:sz w:val="20"/>
                <w:szCs w:val="20"/>
                <w:rtl/>
              </w:rPr>
            </w:pPr>
            <w:r w:rsidRPr="00C579B5">
              <w:rPr>
                <w:b/>
                <w:bCs/>
                <w:sz w:val="20"/>
                <w:szCs w:val="20"/>
                <w:rtl/>
              </w:rPr>
              <w:t xml:space="preserve">واعتمادا على الاستنتاجات التي توصلت اليها الدراسة فقد تم تقديم بعض التوصيات المتسقة مع هذه الاستنتاجات من جهة وطبيعة وظروف عمل المنظمات الدوائية من جهة أخرى نذكر منها : </w:t>
            </w:r>
          </w:p>
          <w:p w:rsidR="009750E7" w:rsidRPr="00C579B5" w:rsidRDefault="009750E7" w:rsidP="009750E7">
            <w:pPr>
              <w:numPr>
                <w:ilvl w:val="0"/>
                <w:numId w:val="2"/>
              </w:numPr>
              <w:ind w:left="0" w:firstLine="0"/>
              <w:jc w:val="lowKashida"/>
              <w:rPr>
                <w:b/>
                <w:bCs/>
                <w:sz w:val="20"/>
                <w:szCs w:val="20"/>
                <w:rtl/>
              </w:rPr>
            </w:pPr>
            <w:r w:rsidRPr="00C579B5">
              <w:rPr>
                <w:b/>
                <w:bCs/>
                <w:sz w:val="20"/>
                <w:szCs w:val="20"/>
                <w:rtl/>
              </w:rPr>
              <w:t xml:space="preserve">ان تهتم الشركات المصنعة للأدوية بتميز الأغلفة الخارجية للأدوية سواء كان ذلك عن طريق اللون أو الحجم أو وضع علامات مميزة وذلك لتقليل معدل الخطأ في تناول الدواء لدى المريض أو صرف الصيدلي له . </w:t>
            </w:r>
          </w:p>
          <w:p w:rsidR="009750E7" w:rsidRPr="00C579B5" w:rsidRDefault="009750E7" w:rsidP="009750E7">
            <w:pPr>
              <w:numPr>
                <w:ilvl w:val="0"/>
                <w:numId w:val="2"/>
              </w:numPr>
              <w:ind w:left="0" w:firstLine="0"/>
              <w:jc w:val="lowKashida"/>
              <w:rPr>
                <w:b/>
                <w:bCs/>
                <w:sz w:val="20"/>
                <w:szCs w:val="20"/>
                <w:rtl/>
              </w:rPr>
            </w:pPr>
            <w:r w:rsidRPr="00C579B5">
              <w:rPr>
                <w:b/>
                <w:bCs/>
                <w:sz w:val="20"/>
                <w:szCs w:val="20"/>
                <w:rtl/>
              </w:rPr>
              <w:t xml:space="preserve">لابد وان تأخذ الشركات المصنعة للأدوية اعتبارات التعبئة والتغليف والتوحيد والتجزئة والنقل والخزن مع أسلوب انسيابها من المصنع لحين وصولها الى المستهلك لما في ذلك من اثر على اقتصاديات الحجم والكلفة معا . </w:t>
            </w:r>
          </w:p>
          <w:p w:rsidR="009750E7" w:rsidRPr="00C579B5" w:rsidRDefault="009750E7" w:rsidP="009750E7">
            <w:pPr>
              <w:numPr>
                <w:ilvl w:val="0"/>
                <w:numId w:val="2"/>
              </w:numPr>
              <w:ind w:left="0" w:firstLine="0"/>
              <w:jc w:val="lowKashida"/>
              <w:rPr>
                <w:b/>
                <w:bCs/>
                <w:sz w:val="20"/>
                <w:szCs w:val="20"/>
              </w:rPr>
            </w:pPr>
            <w:r w:rsidRPr="00C579B5">
              <w:rPr>
                <w:b/>
                <w:bCs/>
                <w:sz w:val="20"/>
                <w:szCs w:val="20"/>
                <w:rtl/>
              </w:rPr>
              <w:t xml:space="preserve">ضرورة اعتماد الأغطية البلاستيكية التي لا تفتح الا عن طريق الضغط والتدوير لضمان عدم عبث الأطفال بها مع المحافظة على خصائص ومكونات العبوة أيضا لفترة أطول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750E7" w:rsidRDefault="009750E7" w:rsidP="00C81E8B">
            <w:pPr>
              <w:spacing w:line="360" w:lineRule="auto"/>
              <w:rPr>
                <w:rFonts w:ascii="Tahoma" w:hAnsi="Tahoma" w:cs="Tahoma"/>
                <w:sz w:val="14"/>
                <w:szCs w:val="14"/>
                <w:rtl/>
                <w:lang w:val="en-US" w:bidi="ar-IQ"/>
              </w:rPr>
            </w:pPr>
          </w:p>
          <w:p w:rsidR="009750E7" w:rsidRDefault="009750E7" w:rsidP="00C81E8B">
            <w:pPr>
              <w:spacing w:line="360" w:lineRule="auto"/>
              <w:jc w:val="right"/>
              <w:rPr>
                <w:rFonts w:ascii="Tahoma" w:hAnsi="Tahoma" w:cs="Tahoma"/>
                <w:sz w:val="14"/>
                <w:szCs w:val="14"/>
                <w:rtl/>
                <w:lang w:val="en-US" w:bidi="ar-IQ"/>
              </w:rPr>
            </w:pPr>
          </w:p>
          <w:p w:rsidR="009750E7" w:rsidRPr="00C06548" w:rsidRDefault="009750E7"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93A"/>
    <w:multiLevelType w:val="singleLevel"/>
    <w:tmpl w:val="D5106094"/>
    <w:lvl w:ilvl="0">
      <w:start w:val="1"/>
      <w:numFmt w:val="decimal"/>
      <w:lvlText w:val="%1."/>
      <w:lvlJc w:val="left"/>
      <w:pPr>
        <w:tabs>
          <w:tab w:val="num" w:pos="360"/>
        </w:tabs>
        <w:ind w:left="360" w:hanging="360"/>
      </w:pPr>
      <w:rPr>
        <w:rFonts w:hint="default"/>
      </w:rPr>
    </w:lvl>
  </w:abstractNum>
  <w:abstractNum w:abstractNumId="1">
    <w:nsid w:val="16B95D52"/>
    <w:multiLevelType w:val="singleLevel"/>
    <w:tmpl w:val="DCC8A5FC"/>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E7"/>
    <w:rsid w:val="009750E7"/>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E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75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9750E7"/>
    <w:rPr>
      <w:rFonts w:asciiTheme="majorHAnsi" w:eastAsiaTheme="majorEastAsia" w:hAnsiTheme="majorHAnsi" w:cstheme="majorBidi"/>
      <w:color w:val="17365D" w:themeColor="text2" w:themeShade="BF"/>
      <w:spacing w:val="5"/>
      <w:kern w:val="28"/>
      <w:sz w:val="52"/>
      <w:szCs w:val="52"/>
      <w:lang w:val="en-GB"/>
    </w:rPr>
  </w:style>
  <w:style w:type="character" w:customStyle="1" w:styleId="hps">
    <w:name w:val="hps"/>
    <w:basedOn w:val="a0"/>
    <w:rsid w:val="009750E7"/>
  </w:style>
  <w:style w:type="character" w:customStyle="1" w:styleId="shorttext">
    <w:name w:val="short_text"/>
    <w:basedOn w:val="a0"/>
    <w:rsid w:val="009750E7"/>
  </w:style>
  <w:style w:type="paragraph" w:styleId="a4">
    <w:name w:val="Body Text Indent"/>
    <w:basedOn w:val="a"/>
    <w:link w:val="Char0"/>
    <w:rsid w:val="009750E7"/>
    <w:pPr>
      <w:spacing w:after="120"/>
      <w:ind w:left="283"/>
    </w:pPr>
  </w:style>
  <w:style w:type="character" w:customStyle="1" w:styleId="Char0">
    <w:name w:val="نص أساسي بمسافة بادئة Char"/>
    <w:basedOn w:val="a0"/>
    <w:link w:val="a4"/>
    <w:rsid w:val="009750E7"/>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E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75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9750E7"/>
    <w:rPr>
      <w:rFonts w:asciiTheme="majorHAnsi" w:eastAsiaTheme="majorEastAsia" w:hAnsiTheme="majorHAnsi" w:cstheme="majorBidi"/>
      <w:color w:val="17365D" w:themeColor="text2" w:themeShade="BF"/>
      <w:spacing w:val="5"/>
      <w:kern w:val="28"/>
      <w:sz w:val="52"/>
      <w:szCs w:val="52"/>
      <w:lang w:val="en-GB"/>
    </w:rPr>
  </w:style>
  <w:style w:type="character" w:customStyle="1" w:styleId="hps">
    <w:name w:val="hps"/>
    <w:basedOn w:val="a0"/>
    <w:rsid w:val="009750E7"/>
  </w:style>
  <w:style w:type="character" w:customStyle="1" w:styleId="shorttext">
    <w:name w:val="short_text"/>
    <w:basedOn w:val="a0"/>
    <w:rsid w:val="009750E7"/>
  </w:style>
  <w:style w:type="paragraph" w:styleId="a4">
    <w:name w:val="Body Text Indent"/>
    <w:basedOn w:val="a"/>
    <w:link w:val="Char0"/>
    <w:rsid w:val="009750E7"/>
    <w:pPr>
      <w:spacing w:after="120"/>
      <w:ind w:left="283"/>
    </w:pPr>
  </w:style>
  <w:style w:type="character" w:customStyle="1" w:styleId="Char0">
    <w:name w:val="نص أساسي بمسافة بادئة Char"/>
    <w:basedOn w:val="a0"/>
    <w:link w:val="a4"/>
    <w:rsid w:val="009750E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2015-01-08T12:11:00Z</dcterms:created>
  <dcterms:modified xsi:type="dcterms:W3CDTF">2015-01-08T12:12:00Z</dcterms:modified>
</cp:coreProperties>
</file>