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860814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Default="00860814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860814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Default="00860814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860814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Pr="009A0D18" w:rsidRDefault="00860814" w:rsidP="004E743F">
            <w:pPr>
              <w:spacing w:line="144" w:lineRule="auto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860814" w:rsidRPr="009A0D18" w:rsidRDefault="00860814" w:rsidP="004E743F">
            <w:pPr>
              <w:spacing w:line="144" w:lineRule="auto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A0D18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رشا ابراهيم محمد علي أبو التمن</w:t>
            </w:r>
          </w:p>
          <w:p w:rsidR="00860814" w:rsidRDefault="00860814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</w:p>
        </w:tc>
      </w:tr>
      <w:tr w:rsidR="00860814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Default="00860814" w:rsidP="004E743F">
            <w:pPr>
              <w:jc w:val="right"/>
              <w:rPr>
                <w:lang w:val="en-US" w:bidi="ar-IQ"/>
              </w:rPr>
            </w:pPr>
          </w:p>
        </w:tc>
      </w:tr>
      <w:tr w:rsidR="00860814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0814" w:rsidRDefault="0086081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0814" w:rsidRDefault="0086081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0814" w:rsidRDefault="00860814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860814" w:rsidRDefault="00860814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860814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Default="00860814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Default="00860814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860814" w:rsidTr="004E743F">
        <w:trPr>
          <w:trHeight w:hRule="exact" w:val="68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Pr="009A0D18" w:rsidRDefault="00860814" w:rsidP="004E743F">
            <w:pPr>
              <w:spacing w:line="168" w:lineRule="auto"/>
              <w:rPr>
                <w:rFonts w:cs="Al-Hadith1"/>
                <w:b/>
                <w:bCs/>
                <w:sz w:val="32"/>
                <w:szCs w:val="32"/>
                <w:rtl/>
                <w:lang w:bidi="ar-IQ"/>
              </w:rPr>
            </w:pPr>
            <w:r w:rsidRPr="009A0D18">
              <w:rPr>
                <w:rFonts w:cs="Al-Hadith1" w:hint="cs"/>
                <w:b/>
                <w:bCs/>
                <w:sz w:val="32"/>
                <w:szCs w:val="32"/>
                <w:rtl/>
                <w:lang w:bidi="ar-IQ"/>
              </w:rPr>
              <w:t xml:space="preserve">مقارنة بعض طرائق تقدير  المعلمات ودالة المعولية لتوزيع </w:t>
            </w:r>
          </w:p>
          <w:p w:rsidR="00860814" w:rsidRPr="009A0D18" w:rsidRDefault="00860814" w:rsidP="004E743F">
            <w:pPr>
              <w:spacing w:line="168" w:lineRule="auto"/>
              <w:jc w:val="center"/>
              <w:rPr>
                <w:rFonts w:cs="Al-Hadith1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9A0D18">
              <w:rPr>
                <w:rFonts w:ascii="Cooper Black" w:hAnsi="Cooper Black" w:cs="Al-Hadith1"/>
                <w:b/>
                <w:bCs/>
                <w:sz w:val="32"/>
                <w:szCs w:val="32"/>
                <w:lang w:bidi="ar-IQ"/>
              </w:rPr>
              <w:t>Birnbaum</w:t>
            </w:r>
            <w:proofErr w:type="spellEnd"/>
            <w:r w:rsidRPr="009A0D18">
              <w:rPr>
                <w:rFonts w:ascii="Cooper Black" w:hAnsi="Cooper Black" w:cs="Al-Hadith1"/>
                <w:b/>
                <w:bCs/>
                <w:sz w:val="32"/>
                <w:szCs w:val="32"/>
                <w:lang w:bidi="ar-IQ"/>
              </w:rPr>
              <w:t>-Saunders</w:t>
            </w:r>
            <w:r w:rsidRPr="009A0D18">
              <w:rPr>
                <w:rFonts w:cs="Al-Hadith1" w:hint="cs"/>
                <w:b/>
                <w:bCs/>
                <w:sz w:val="32"/>
                <w:szCs w:val="32"/>
                <w:rtl/>
                <w:lang w:bidi="ar-IQ"/>
              </w:rPr>
              <w:t xml:space="preserve"> ذو المعلمتين باستخدام المحاكاة</w:t>
            </w:r>
          </w:p>
          <w:p w:rsidR="00860814" w:rsidRPr="006614AA" w:rsidRDefault="00860814" w:rsidP="004E743F">
            <w:pPr>
              <w:spacing w:line="168" w:lineRule="auto"/>
              <w:jc w:val="center"/>
              <w:rPr>
                <w:rFonts w:cs="Al-Hadith1"/>
                <w:rtl/>
                <w:lang w:bidi="ar-IQ"/>
              </w:rPr>
            </w:pPr>
          </w:p>
          <w:p w:rsidR="00860814" w:rsidRDefault="00860814" w:rsidP="004E743F">
            <w:pPr>
              <w:jc w:val="center"/>
              <w:rPr>
                <w:rFonts w:hint="cs"/>
                <w:lang w:val="en-US" w:bidi="ar-IQ"/>
              </w:rPr>
            </w:pPr>
          </w:p>
        </w:tc>
      </w:tr>
      <w:tr w:rsidR="00860814" w:rsidTr="004E743F">
        <w:trPr>
          <w:trHeight w:hRule="exact" w:val="5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60814" w:rsidRPr="00B66A44" w:rsidRDefault="00860814" w:rsidP="004E743F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 w:rsidRPr="00B66A44">
              <w:rPr>
                <w:rFonts w:cs="Simplified Arabic" w:hint="cs"/>
                <w:b/>
                <w:bCs/>
                <w:sz w:val="32"/>
                <w:szCs w:val="32"/>
                <w:rtl/>
              </w:rPr>
              <w:t>1433</w:t>
            </w:r>
            <w:r w:rsidRPr="00B66A44">
              <w:rPr>
                <w:rFonts w:ascii="Times New Roman" w:hAnsi="Times New Roman" w:cs="Arabic Transparent" w:hint="cs"/>
                <w:b/>
                <w:bCs/>
                <w:caps/>
                <w:sz w:val="32"/>
                <w:szCs w:val="32"/>
                <w:rtl/>
                <w:lang w:bidi="ar-IQ"/>
              </w:rPr>
              <w:t xml:space="preserve"> هـ</w:t>
            </w:r>
            <w:r w:rsidRPr="00B66A4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  <w:r w:rsidRPr="00B66A4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 2012</w:t>
            </w:r>
            <w:r w:rsidRPr="00B66A44">
              <w:rPr>
                <w:rFonts w:ascii="Times New Roman" w:hAnsi="Times New Roman" w:cs="Arabic Transparent" w:hint="cs"/>
                <w:b/>
                <w:bCs/>
                <w:caps/>
                <w:sz w:val="32"/>
                <w:szCs w:val="32"/>
                <w:rtl/>
                <w:lang w:bidi="ar-IQ"/>
              </w:rPr>
              <w:t xml:space="preserve"> م</w:t>
            </w:r>
          </w:p>
          <w:p w:rsidR="00860814" w:rsidRDefault="00860814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860814" w:rsidRDefault="00860814" w:rsidP="004E743F">
            <w:pPr>
              <w:tabs>
                <w:tab w:val="left" w:pos="4843"/>
              </w:tabs>
              <w:jc w:val="center"/>
              <w:rPr>
                <w:rFonts w:hint="cs"/>
                <w:lang w:val="en-US" w:bidi="ar-IQ"/>
              </w:rPr>
            </w:pPr>
          </w:p>
        </w:tc>
      </w:tr>
      <w:tr w:rsidR="00860814" w:rsidTr="004E743F">
        <w:trPr>
          <w:trHeight w:val="722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860814" w:rsidRPr="00B66A44" w:rsidRDefault="00860814" w:rsidP="004E743F">
            <w:pPr>
              <w:spacing w:line="360" w:lineRule="auto"/>
              <w:jc w:val="both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يعد توزيع (</w:t>
            </w:r>
            <w:proofErr w:type="spellStart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Birnbaum</w:t>
            </w:r>
            <w:proofErr w:type="spellEnd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– Saunders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ذي المعلمتين واحد من عوائل التوزيعات الاحصائية المستمرة وخاصة في مجال المعولية.</w:t>
            </w:r>
          </w:p>
          <w:p w:rsidR="00860814" w:rsidRPr="00B66A44" w:rsidRDefault="00860814" w:rsidP="004E743F">
            <w:pPr>
              <w:spacing w:line="360" w:lineRule="auto"/>
              <w:ind w:firstLine="565"/>
              <w:jc w:val="both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وقد اكتسب هذا التوزيع اهمية حقيقية في العقود الماضية وذلك لأهمية استخدامه في دراسة المكائن والمعدات الهندسية وتحديد عطلاتها مع تحديد العمر الافتراضي للعمل دون توقف.</w:t>
            </w:r>
          </w:p>
          <w:p w:rsidR="00860814" w:rsidRPr="00B66A44" w:rsidRDefault="00860814" w:rsidP="004E743F">
            <w:pPr>
              <w:spacing w:line="360" w:lineRule="auto"/>
              <w:ind w:firstLine="565"/>
              <w:jc w:val="both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وقد تـم في هذا البحث التطرق إلى توزيع (</w:t>
            </w:r>
            <w:proofErr w:type="spellStart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Birnbaum</w:t>
            </w:r>
            <w:proofErr w:type="spellEnd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– Saunders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 xml:space="preserve">) والخصائص التي يتمتع بهـا </w:t>
            </w:r>
            <w:r w:rsidRPr="00B66A44"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  <w:t>حيث تم تقدير معلمتي القياس والشك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ـ</w:t>
            </w:r>
            <w:r w:rsidRPr="00B66A44"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  <w:t>ل ودالة المعول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ـ</w:t>
            </w:r>
            <w:r w:rsidRPr="00B66A44"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  <w:t>ية ل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ـ</w:t>
            </w:r>
            <w:r w:rsidRPr="00B66A44"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  <w:t>توزي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ـ</w:t>
            </w:r>
            <w:r w:rsidRPr="00B66A44"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  <w:t xml:space="preserve">ع </w:t>
            </w:r>
          </w:p>
          <w:p w:rsidR="00860814" w:rsidRPr="00B66A44" w:rsidRDefault="00860814" w:rsidP="004E743F">
            <w:pPr>
              <w:spacing w:line="360" w:lineRule="auto"/>
              <w:ind w:firstLine="565"/>
              <w:jc w:val="both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proofErr w:type="spellStart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Birnbaum</w:t>
            </w:r>
            <w:proofErr w:type="spellEnd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– Saunders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, وقد ركز هذا البـحث على المـقارنة ما بين بعض طرائق التقدير المعروفة وهـي طريقة الإمكان الأعظم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Maximum Likelihood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)، طـريقـة الـعـزوم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Method of Moments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)، طـريقـة الـعـزوم المـحورة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Modified Moments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وأسلوب الجاكنايف في التـقدير(</w:t>
            </w:r>
            <w:proofErr w:type="spellStart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Jackknife</w:t>
            </w:r>
            <w:proofErr w:type="spellEnd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أمـا الـطـرائـق الـمقتـرحة مـن قـبل الـباحـثة فـكانت طريقة المـربعات الصغـرى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Least Squares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وطـريقة التقلص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Shrinkage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).</w:t>
            </w:r>
          </w:p>
          <w:p w:rsidR="00860814" w:rsidRPr="00B66A44" w:rsidRDefault="00860814" w:rsidP="004E743F">
            <w:pPr>
              <w:spacing w:line="360" w:lineRule="auto"/>
              <w:ind w:firstLine="565"/>
              <w:jc w:val="both"/>
              <w:rPr>
                <w:rFonts w:ascii="Times New Roman" w:hAnsi="Times New Roman"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إن منهجية البحث تعتمد على دراسة نظرية فقد تم اشتقاق طرائق التقدير الاعتيادية وبشكل تفصيلي للتوصل إلى صيغ مقدرات هذه الطرائق وصيغ مقدرات دالة المعولية لها.</w:t>
            </w:r>
          </w:p>
          <w:p w:rsidR="00860814" w:rsidRPr="00B66A44" w:rsidRDefault="00860814" w:rsidP="004E743F">
            <w:pPr>
              <w:spacing w:line="360" w:lineRule="auto"/>
              <w:ind w:firstLine="565"/>
              <w:jc w:val="both"/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</w:pP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كذلك اعتمد البحث على دراسة تجريبية عن طريق تصميم عدد من تجارب المحاكاة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Simulation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)، بأستخدام تنويعة من قيم المعلمة وحجوم العينات وكررت التجربة للحصول على تجانس عال ٍ وذلك لأغراض المقارنة ما بين طرائق التقدير لبيان اي المقدرات هي الأكثر دقة في الأستخدام في تقدير معلمتي القياس و الشكل ودالة المعولية لهذا التوزيع من بين الطرائق المعروفة المستخدمة في هذا البحث، وجرت المقارنة بين أفضلية طرائق التقدير بأستخدام المعايير الآتية متوسط مربعات الخطأ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MSE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), متوسط الخطأ النسبي المطلق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MAPE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ومتوسط مربعات الخطأ التكاملي (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IMSE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 xml:space="preserve">), وقد تم التوصل الى افضلية طريقة التقلص ( </w:t>
            </w:r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Shrinkage Method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في تقدير المعلمات ودالة المعولية لأنموذج  (</w:t>
            </w:r>
            <w:proofErr w:type="spellStart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>Birnbaum</w:t>
            </w:r>
            <w:proofErr w:type="spellEnd"/>
            <w:r w:rsidRPr="00B66A44">
              <w:rPr>
                <w:rFonts w:ascii="Times New Roman" w:hAnsi="Times New Roman" w:cs="Arabic Transparent"/>
                <w:b/>
                <w:bCs/>
                <w:i/>
                <w:iCs/>
                <w:sz w:val="20"/>
                <w:szCs w:val="20"/>
                <w:lang w:bidi="ar-IQ"/>
              </w:rPr>
              <w:t xml:space="preserve"> – Saunders</w:t>
            </w:r>
            <w:r w:rsidRPr="00B66A44">
              <w:rPr>
                <w:rFonts w:ascii="Times New Roman" w:hAnsi="Times New Roman" w:cs="Arabic Transparent" w:hint="cs"/>
                <w:b/>
                <w:bCs/>
                <w:sz w:val="20"/>
                <w:szCs w:val="20"/>
                <w:rtl/>
                <w:lang w:bidi="ar-IQ"/>
              </w:rPr>
              <w:t>) للفشل.</w:t>
            </w:r>
          </w:p>
          <w:p w:rsidR="00860814" w:rsidRDefault="00860814" w:rsidP="004E743F">
            <w:pPr>
              <w:rPr>
                <w:rtl/>
              </w:rPr>
            </w:pPr>
          </w:p>
          <w:p w:rsidR="00860814" w:rsidRDefault="00860814" w:rsidP="004E743F">
            <w:pPr>
              <w:jc w:val="right"/>
              <w:rPr>
                <w:rtl/>
              </w:rPr>
            </w:pPr>
          </w:p>
          <w:p w:rsidR="00860814" w:rsidRDefault="00860814" w:rsidP="004E743F">
            <w:pPr>
              <w:jc w:val="right"/>
            </w:pPr>
          </w:p>
          <w:p w:rsidR="00860814" w:rsidRDefault="00860814" w:rsidP="004E743F">
            <w:pPr>
              <w:spacing w:line="360" w:lineRule="auto"/>
              <w:jc w:val="both"/>
              <w:rPr>
                <w:lang w:val="en-US" w:bidi="ar-IQ"/>
              </w:rPr>
            </w:pPr>
          </w:p>
        </w:tc>
      </w:tr>
    </w:tbl>
    <w:p w:rsidR="0002700C" w:rsidRPr="00860814" w:rsidRDefault="0002700C">
      <w:pPr>
        <w:rPr>
          <w:lang w:val="en-US"/>
        </w:rPr>
      </w:pPr>
    </w:p>
    <w:sectPr w:rsidR="0002700C" w:rsidRPr="00860814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14"/>
    <w:rsid w:val="0002700C"/>
    <w:rsid w:val="008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14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60814"/>
  </w:style>
  <w:style w:type="character" w:customStyle="1" w:styleId="shorttext">
    <w:name w:val="short_text"/>
    <w:basedOn w:val="DefaultParagraphFont"/>
    <w:rsid w:val="00860814"/>
  </w:style>
  <w:style w:type="paragraph" w:styleId="BodyText3">
    <w:name w:val="Body Text 3"/>
    <w:basedOn w:val="Normal"/>
    <w:link w:val="BodyText3Char"/>
    <w:rsid w:val="008608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0814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2013-03-14T09:44:00Z</dcterms:created>
  <dcterms:modified xsi:type="dcterms:W3CDTF">2013-03-14T09:44:00Z</dcterms:modified>
</cp:coreProperties>
</file>