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tblPr>
      <w:tblGrid>
        <w:gridCol w:w="1579"/>
        <w:gridCol w:w="2439"/>
        <w:gridCol w:w="1501"/>
        <w:gridCol w:w="2729"/>
        <w:gridCol w:w="2642"/>
      </w:tblGrid>
      <w:tr w:rsidR="00F725E8" w:rsidTr="00DC05BF">
        <w:trPr>
          <w:trHeight w:hRule="exact" w:val="319"/>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F725E8" w:rsidRPr="00F53F53" w:rsidRDefault="00F725E8" w:rsidP="00DC05BF">
            <w:pPr>
              <w:rPr>
                <w:rFonts w:ascii="Times New Roman" w:hAnsi="Times New Roman"/>
                <w:b/>
                <w:bCs/>
                <w:sz w:val="32"/>
                <w:szCs w:val="32"/>
                <w:lang w:val="en-US" w:bidi="ar-IQ"/>
              </w:rPr>
            </w:pPr>
            <w:r w:rsidRPr="00F53F53">
              <w:rPr>
                <w:rFonts w:ascii="Times New Roman" w:hAnsi="Times New Roman"/>
                <w:b/>
                <w:bCs/>
                <w:sz w:val="32"/>
                <w:szCs w:val="32"/>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F725E8" w:rsidRDefault="00F725E8" w:rsidP="00DC05BF">
            <w:pPr>
              <w:jc w:val="right"/>
              <w:rPr>
                <w:rFonts w:ascii="Tahoma" w:hAnsi="Tahoma" w:cs="Tahoma"/>
                <w:lang w:val="en-US" w:bidi="ar-IQ"/>
              </w:rPr>
            </w:pPr>
            <w:r>
              <w:rPr>
                <w:rFonts w:ascii="Tahoma" w:hAnsi="Tahoma" w:cs="Tahoma"/>
                <w:lang w:val="en-US" w:bidi="ar-IQ"/>
              </w:rPr>
              <w:t>College  Name</w:t>
            </w:r>
          </w:p>
        </w:tc>
      </w:tr>
      <w:tr w:rsidR="00F725E8" w:rsidTr="00DC05BF">
        <w:trPr>
          <w:trHeight w:hRule="exact" w:val="371"/>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F725E8" w:rsidRPr="00F53F53" w:rsidRDefault="00F725E8" w:rsidP="00DC05BF">
            <w:pPr>
              <w:rPr>
                <w:rFonts w:ascii="Times New Roman" w:hAnsi="Times New Roman" w:hint="cs"/>
                <w:b/>
                <w:bCs/>
                <w:sz w:val="32"/>
                <w:szCs w:val="32"/>
                <w:rtl/>
                <w:lang w:val="en-US" w:bidi="ar-IQ"/>
              </w:rPr>
            </w:pPr>
            <w:r w:rsidRPr="00F53F53">
              <w:rPr>
                <w:rFonts w:ascii="Times New Roman" w:hAnsi="Times New Roman"/>
                <w:b/>
                <w:bCs/>
                <w:sz w:val="32"/>
                <w:szCs w:val="32"/>
                <w:rtl/>
                <w:lang w:val="en-US" w:bidi="ar-IQ"/>
              </w:rPr>
              <w:t>محاسبة</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F725E8" w:rsidRDefault="00F725E8" w:rsidP="00DC05BF">
            <w:pPr>
              <w:jc w:val="right"/>
              <w:rPr>
                <w:rFonts w:ascii="Tahoma" w:hAnsi="Tahoma" w:cs="Tahoma"/>
                <w:lang w:val="en-US" w:bidi="ar-IQ"/>
              </w:rPr>
            </w:pPr>
            <w:r>
              <w:rPr>
                <w:rFonts w:ascii="Tahoma" w:hAnsi="Tahoma" w:cs="Tahoma"/>
                <w:lang w:val="en-US" w:bidi="ar-IQ"/>
              </w:rPr>
              <w:t>Department</w:t>
            </w:r>
          </w:p>
        </w:tc>
      </w:tr>
      <w:tr w:rsidR="00F725E8" w:rsidTr="00DC05BF">
        <w:trPr>
          <w:trHeight w:hRule="exact" w:val="698"/>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F725E8" w:rsidRPr="00F53F53" w:rsidRDefault="00F725E8" w:rsidP="00DC05BF">
            <w:pPr>
              <w:rPr>
                <w:rFonts w:ascii="Times New Roman" w:hAnsi="Times New Roman"/>
                <w:b/>
                <w:bCs/>
                <w:sz w:val="32"/>
                <w:szCs w:val="32"/>
                <w:rtl/>
                <w:lang w:bidi="ar-IQ"/>
              </w:rPr>
            </w:pPr>
            <w:r w:rsidRPr="00F53F53">
              <w:rPr>
                <w:rFonts w:ascii="Times New Roman" w:hAnsi="Times New Roman"/>
                <w:b/>
                <w:bCs/>
                <w:i/>
                <w:iCs/>
                <w:sz w:val="32"/>
                <w:szCs w:val="32"/>
                <w:rtl/>
                <w:lang w:bidi="ar-IQ"/>
              </w:rPr>
              <w:t>إسراء جبل عبد العابدي</w:t>
            </w:r>
          </w:p>
          <w:p w:rsidR="00F725E8" w:rsidRPr="00F53F53" w:rsidRDefault="00F725E8" w:rsidP="00DC05BF">
            <w:pPr>
              <w:rPr>
                <w:rFonts w:ascii="Times New Roman" w:hAnsi="Times New Roman"/>
                <w:b/>
                <w:bCs/>
                <w:sz w:val="32"/>
                <w:szCs w:val="32"/>
                <w:lang w:val="en-US"/>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F725E8" w:rsidRDefault="00F725E8" w:rsidP="00DC05BF">
            <w:pPr>
              <w:jc w:val="right"/>
              <w:rPr>
                <w:rFonts w:ascii="Tahoma" w:hAnsi="Tahoma" w:cs="Tahoma"/>
                <w:lang w:val="en-US" w:bidi="ar-IQ"/>
              </w:rPr>
            </w:pPr>
            <w:r>
              <w:rPr>
                <w:rFonts w:ascii="Tahoma" w:hAnsi="Tahoma" w:cs="Tahoma"/>
                <w:lang w:val="en-US" w:bidi="ar-IQ"/>
              </w:rPr>
              <w:t>Full Name as written   in Passport</w:t>
            </w:r>
          </w:p>
        </w:tc>
      </w:tr>
      <w:tr w:rsidR="00F725E8" w:rsidTr="00DC05BF">
        <w:trPr>
          <w:trHeight w:hRule="exact" w:val="358"/>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F725E8" w:rsidRDefault="00F725E8" w:rsidP="00DC05BF">
            <w:pPr>
              <w:jc w:val="right"/>
              <w:rPr>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F725E8" w:rsidRDefault="00F725E8" w:rsidP="00DC05BF">
            <w:pPr>
              <w:jc w:val="right"/>
              <w:rPr>
                <w:rFonts w:ascii="Tahoma" w:hAnsi="Tahoma" w:cs="Tahoma"/>
                <w:lang w:val="en-US" w:bidi="ar-IQ"/>
              </w:rPr>
            </w:pPr>
            <w:r>
              <w:rPr>
                <w:rFonts w:ascii="Tahoma" w:hAnsi="Tahoma" w:cs="Tahoma"/>
                <w:lang w:val="en-US" w:bidi="ar-IQ"/>
              </w:rPr>
              <w:t>e-mail</w:t>
            </w:r>
          </w:p>
        </w:tc>
      </w:tr>
      <w:tr w:rsidR="00F725E8" w:rsidTr="00DC05BF">
        <w:trPr>
          <w:trHeight w:hRule="exact" w:val="340"/>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tcPr>
          <w:p w:rsidR="00F725E8" w:rsidRDefault="00F725E8" w:rsidP="00DC05BF">
            <w:pPr>
              <w:jc w:val="center"/>
              <w:rPr>
                <w:rFonts w:ascii="Simplified Arabic" w:hAnsi="Simplified Arabic" w:cs="Simplified Arabic"/>
                <w:b/>
                <w:bCs/>
                <w:sz w:val="22"/>
                <w:szCs w:val="22"/>
                <w:lang w:val="en-US" w:bidi="ar-IQ"/>
              </w:rPr>
            </w:pPr>
            <w:r>
              <w:rPr>
                <w:rtl/>
              </w:rPr>
              <w:pict>
                <v:oval id="_x0000_s1026" style="position:absolute;left:0;text-align:left;margin-left:1.5pt;margin-top:3.35pt;width:9.8pt;height:10.35pt;z-index:251660288;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rPr>
              <w:t xml:space="preserve">   Professor</w:t>
            </w:r>
            <w:r>
              <w:rPr>
                <w:rFonts w:ascii="Simplified Arabic" w:hAnsi="Simplified Arabic" w:cs="Simplified Arabic" w:hint="cs"/>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tcPr>
          <w:p w:rsidR="00F725E8" w:rsidRDefault="00F725E8" w:rsidP="00DC05BF">
            <w:pPr>
              <w:jc w:val="center"/>
              <w:rPr>
                <w:rFonts w:ascii="Simplified Arabic" w:hAnsi="Simplified Arabic" w:cs="Simplified Arabic"/>
                <w:b/>
                <w:bCs/>
                <w:sz w:val="22"/>
                <w:szCs w:val="22"/>
                <w:lang w:val="en-US" w:bidi="ar-IQ"/>
              </w:rPr>
            </w:pPr>
            <w:r>
              <w:rPr>
                <w:rtl/>
              </w:rPr>
              <w:pict>
                <v:oval id="_x0000_s1027" style="position:absolute;left:0;text-align:left;margin-left:3.25pt;margin-top:2.65pt;width:9.8pt;height:10.35pt;z-index:251661312;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rPr>
              <w:t xml:space="preserve">   Assistant</w:t>
            </w:r>
            <w:r>
              <w:rPr>
                <w:rStyle w:val="shorttext"/>
                <w:rFonts w:ascii="Simplified Arabic" w:hAnsi="Simplified Arabic" w:cs="Simplified Arabic" w:hint="cs"/>
                <w:b/>
                <w:bCs/>
                <w:color w:val="333333"/>
                <w:sz w:val="22"/>
                <w:szCs w:val="22"/>
              </w:rPr>
              <w:t xml:space="preserve"> </w:t>
            </w:r>
            <w:r>
              <w:rPr>
                <w:rStyle w:val="hps"/>
                <w:rFonts w:ascii="Simplified Arabic" w:hAnsi="Simplified Arabic" w:hint="cs"/>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tcPr>
          <w:p w:rsidR="00F725E8" w:rsidRDefault="00F725E8" w:rsidP="00DC05BF">
            <w:pPr>
              <w:jc w:val="center"/>
              <w:rPr>
                <w:rFonts w:ascii="Simplified Arabic" w:hAnsi="Simplified Arabic" w:cs="Simplified Arabic"/>
                <w:b/>
                <w:bCs/>
                <w:sz w:val="22"/>
                <w:szCs w:val="22"/>
                <w:lang w:bidi="ar-IQ"/>
              </w:rPr>
            </w:pPr>
            <w:r>
              <w:rPr>
                <w:rtl/>
              </w:rPr>
              <w:pict>
                <v:oval id="_x0000_s1028" style="position:absolute;left:0;text-align:left;margin-left:-.3pt;margin-top:3.35pt;width:9.8pt;height:10.35pt;z-index:251662336;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rPr>
              <w:t xml:space="preserve">   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tcPr>
          <w:p w:rsidR="00F725E8" w:rsidRDefault="00F725E8" w:rsidP="00DC05BF">
            <w:pPr>
              <w:spacing w:line="276" w:lineRule="auto"/>
              <w:jc w:val="center"/>
              <w:rPr>
                <w:rFonts w:ascii="Simplified Arabic" w:hAnsi="Simplified Arabic" w:cs="Simplified Arabic"/>
                <w:b/>
                <w:bCs/>
                <w:sz w:val="22"/>
                <w:szCs w:val="22"/>
                <w:lang w:val="en-US" w:bidi="ar-IQ"/>
              </w:rPr>
            </w:pPr>
            <w:r>
              <w:rPr>
                <w:rtl/>
              </w:rPr>
              <w:pict>
                <v:oval id="_x0000_s1029" style="position:absolute;left:0;text-align:left;margin-left:3.15pt;margin-top:4.05pt;width:9.8pt;height:10.35pt;z-index:251663360;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lang w:bidi="ar-IQ"/>
              </w:rPr>
              <w:t xml:space="preserve">   </w:t>
            </w:r>
            <w:r>
              <w:rPr>
                <w:rStyle w:val="hps"/>
                <w:rFonts w:ascii="Simplified Arabic" w:hAnsi="Simplified Arabic" w:hint="cs"/>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F725E8" w:rsidRDefault="00F725E8" w:rsidP="00DC05BF">
            <w:pPr>
              <w:jc w:val="right"/>
              <w:rPr>
                <w:rFonts w:ascii="Tahoma" w:hAnsi="Tahoma" w:cs="Tahoma"/>
                <w:lang w:val="en-US" w:bidi="ar-IQ"/>
              </w:rPr>
            </w:pPr>
            <w:r>
              <w:rPr>
                <w:rFonts w:ascii="Tahoma" w:hAnsi="Tahoma" w:cs="Tahoma"/>
                <w:lang w:val="en-US" w:bidi="ar-IQ"/>
              </w:rPr>
              <w:t xml:space="preserve">Career </w:t>
            </w:r>
          </w:p>
        </w:tc>
      </w:tr>
      <w:tr w:rsidR="00F725E8" w:rsidTr="00DC05BF">
        <w:trPr>
          <w:trHeight w:hRule="exact" w:val="453"/>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tcPr>
          <w:p w:rsidR="00F725E8" w:rsidRDefault="00F725E8" w:rsidP="00DC05BF">
            <w:pPr>
              <w:jc w:val="right"/>
              <w:rPr>
                <w:lang w:val="en-US" w:bidi="ar-IQ"/>
              </w:rPr>
            </w:pPr>
            <w:r>
              <w:rPr>
                <w:rtl/>
              </w:rPr>
              <w:pict>
                <v:oval id="_x0000_s1031" style="position:absolute;margin-left:3.65pt;margin-top:1.65pt;width:12.05pt;height:12.6pt;z-index:251665408;mso-position-horizontal-relative:text;mso-position-vertical-relative:text" fillcolor="#4f81bd" strokecolor="#f2f2f2" strokeweight="3pt">
                  <v:shadow on="t" type="perspective" color="#243f60" opacity=".5" offset="1pt" offset2="-1pt"/>
                  <w10:wrap anchorx="page"/>
                </v:oval>
              </w:pic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tcPr>
          <w:p w:rsidR="00F725E8" w:rsidRDefault="00F725E8" w:rsidP="00DC05BF">
            <w:pPr>
              <w:jc w:val="right"/>
              <w:rPr>
                <w:lang w:val="en-US" w:bidi="ar-IQ"/>
              </w:rPr>
            </w:pPr>
            <w:r>
              <w:rPr>
                <w:rtl/>
              </w:rPr>
              <w:pict>
                <v:oval id="_x0000_s1030" style="position:absolute;margin-left:3.65pt;margin-top:1.65pt;width:15.8pt;height:12.6pt;z-index:251664384;mso-position-horizontal-relative:text;mso-position-vertical-relative:text" strokeweight="1pt">
                  <v:stroke dashstyle="dash"/>
                  <v:shadow color="#868686"/>
                  <w10:wrap anchorx="page"/>
                </v:oval>
              </w:pic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F725E8" w:rsidRDefault="00F725E8" w:rsidP="00DC05BF">
            <w:pPr>
              <w:jc w:val="right"/>
              <w:rPr>
                <w:rFonts w:ascii="Tahoma" w:hAnsi="Tahoma" w:cs="Tahoma"/>
                <w:lang w:val="en-US" w:bidi="ar-IQ"/>
              </w:rPr>
            </w:pPr>
          </w:p>
        </w:tc>
      </w:tr>
      <w:tr w:rsidR="00F725E8" w:rsidTr="00DC05BF">
        <w:trPr>
          <w:trHeight w:hRule="exact" w:val="525"/>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F725E8" w:rsidRPr="00F53F53" w:rsidRDefault="00F725E8" w:rsidP="00DC05BF">
            <w:pPr>
              <w:rPr>
                <w:rFonts w:ascii="Times New Roman" w:hAnsi="Times New Roman"/>
                <w:b/>
                <w:bCs/>
                <w:sz w:val="32"/>
                <w:szCs w:val="32"/>
                <w:lang w:val="en-US" w:bidi="ar-IQ"/>
              </w:rPr>
            </w:pPr>
            <w:r w:rsidRPr="00F53F53">
              <w:rPr>
                <w:rFonts w:ascii="Times New Roman" w:hAnsi="Times New Roman"/>
                <w:b/>
                <w:bCs/>
                <w:sz w:val="32"/>
                <w:szCs w:val="32"/>
                <w:rtl/>
                <w:lang w:bidi="ar-IQ"/>
              </w:rPr>
              <w:t>أهمية أدراك  مراقب الحسابات لمفهوم تدقيق إدارة مخاطر نشاط القروض</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F725E8" w:rsidRDefault="00F725E8" w:rsidP="00DC05BF">
            <w:pPr>
              <w:jc w:val="right"/>
              <w:rPr>
                <w:rFonts w:ascii="Tahoma" w:hAnsi="Tahoma" w:cs="Tahoma"/>
                <w:lang w:val="en-US" w:bidi="ar-IQ"/>
              </w:rPr>
            </w:pPr>
            <w:r>
              <w:rPr>
                <w:rFonts w:ascii="Tahoma" w:hAnsi="Tahoma" w:cs="Tahoma"/>
                <w:lang w:val="en-US" w:bidi="ar-IQ"/>
              </w:rPr>
              <w:t xml:space="preserve">Thesis  Title </w:t>
            </w:r>
          </w:p>
        </w:tc>
      </w:tr>
      <w:tr w:rsidR="00F725E8" w:rsidTr="00DC05BF">
        <w:trPr>
          <w:trHeight w:hRule="exact" w:val="43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F725E8" w:rsidRPr="00F53F53" w:rsidRDefault="00F725E8" w:rsidP="00DC05BF">
            <w:pPr>
              <w:tabs>
                <w:tab w:val="left" w:pos="4843"/>
              </w:tabs>
              <w:jc w:val="center"/>
              <w:rPr>
                <w:sz w:val="32"/>
                <w:szCs w:val="32"/>
                <w:lang w:val="en-US" w:bidi="ar-IQ"/>
              </w:rPr>
            </w:pPr>
            <w:r w:rsidRPr="00F53F53">
              <w:rPr>
                <w:sz w:val="32"/>
                <w:szCs w:val="32"/>
                <w:rtl/>
                <w:lang w:val="en-US" w:bidi="ar-IQ"/>
              </w:rPr>
              <w:t>2009</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F725E8" w:rsidRDefault="00F725E8" w:rsidP="00DC05BF">
            <w:pPr>
              <w:jc w:val="right"/>
              <w:rPr>
                <w:rFonts w:ascii="Tahoma" w:hAnsi="Tahoma" w:cs="Tahoma"/>
                <w:lang w:val="en-US" w:bidi="ar-IQ"/>
              </w:rPr>
            </w:pPr>
            <w:r>
              <w:rPr>
                <w:rFonts w:ascii="Tahoma" w:hAnsi="Tahoma" w:cs="Tahoma"/>
                <w:lang w:val="en-US" w:bidi="ar-IQ"/>
              </w:rPr>
              <w:t>Year</w:t>
            </w:r>
          </w:p>
        </w:tc>
      </w:tr>
      <w:tr w:rsidR="00F725E8" w:rsidTr="00DC05BF">
        <w:trPr>
          <w:trHeight w:val="7261"/>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F725E8" w:rsidRPr="00F53F53" w:rsidRDefault="00F725E8" w:rsidP="00DC05BF">
            <w:pPr>
              <w:spacing w:before="240"/>
              <w:jc w:val="mediumKashida"/>
              <w:rPr>
                <w:rFonts w:ascii="Times New Roman" w:hAnsi="Times New Roman"/>
                <w:b/>
                <w:bCs/>
                <w:sz w:val="20"/>
                <w:szCs w:val="20"/>
                <w:rtl/>
                <w:lang w:bidi="ar-IQ"/>
              </w:rPr>
            </w:pPr>
            <w:r w:rsidRPr="00F53F53">
              <w:rPr>
                <w:rFonts w:ascii="Times New Roman" w:hAnsi="Times New Roman"/>
                <w:b/>
                <w:bCs/>
                <w:sz w:val="20"/>
                <w:szCs w:val="20"/>
                <w:rtl/>
                <w:lang w:bidi="ar-IQ"/>
              </w:rPr>
              <w:t xml:space="preserve"> تواجه المصارف في بلدان العالم المتقدمة والنامية العديد من المخاطر المتنوعة ، وقد تعرضت العديد من تلك المصارف إلى أزمات مالية أدت إلى تعثرها وإفلاسها ، مما دفع هذه المصارف وإداراتها إلى إيجاد الحلول المناسبة والسريعة للتخلص من هذه المصاعب المالية ، وكان من ضمن هذه الحلول الاعتماد على إدارة المخاطر المصرفية  والتركيز على إدارة مخاطر القروض لما لها من دور فعال في تحديد المخاطر ومحاولة تلافيها مستقبلا لتقليل الخسائر التي من المحتمل أن يتعرض لها المصرف . إن إدارة المخاطر بمثابة العملية التي يتم من خلالها تعريف المخاطر وتحديدها وقياسها ومراقبتها والرقابة عليها.ويعد أسلوب إدارة المخاطر علماً و فناً في آن واحد،فهو علم لكونه يتبع عمليات التحليل الواقعي في البناء العقلاني لهيكل المخاطر والاستعانة بالنماذج القياسية والحسابية وكذلك فن لكونه يتطلب اختيار الأنموذج المناسب ومحاولة إعمامه بنجاح وفاعلية في الوحدات المصرفية مع الالتزام بالحذر اتجاه المخاطر بما يجعل إدارتها دائما من الفنون القائمة على المعرفة المتبقية المكتسبة من خلال الكفاية المهنية ومن الخبرة الطويلة المكتسبة في العمل المصرفي.و لاشك أن أساس نجاح إدارة المخاطر لدى المصرف يعتمد اعتمادا كليا على مدى التزامه بالتشريعات السارية و الأنظمة الداخلية و بالأطر المحددة و الأهداف الواضحة وعلى مدى استعداده للتعامل مع المخاطر.</w:t>
            </w:r>
          </w:p>
          <w:p w:rsidR="00F725E8" w:rsidRPr="00F53F53" w:rsidRDefault="00F725E8" w:rsidP="00DC05BF">
            <w:pPr>
              <w:tabs>
                <w:tab w:val="left" w:pos="7591"/>
              </w:tabs>
              <w:spacing w:before="240"/>
              <w:jc w:val="mediumKashida"/>
              <w:rPr>
                <w:rFonts w:ascii="Times New Roman" w:hAnsi="Times New Roman"/>
                <w:b/>
                <w:bCs/>
                <w:sz w:val="20"/>
                <w:szCs w:val="20"/>
                <w:rtl/>
                <w:lang w:bidi="ar-IQ"/>
              </w:rPr>
            </w:pPr>
            <w:r w:rsidRPr="00F53F53">
              <w:rPr>
                <w:rFonts w:ascii="Times New Roman" w:hAnsi="Times New Roman"/>
                <w:b/>
                <w:bCs/>
                <w:sz w:val="20"/>
                <w:szCs w:val="20"/>
                <w:rtl/>
                <w:lang w:bidi="ar-IQ"/>
              </w:rPr>
              <w:t xml:space="preserve">    يهدف البحث إلى تسليط الضوء على أهمية تقويم أداء إدارة مخاطر الإقراض من قبل مراقب الحسابات قبل البدء بعملية تدقيق نشاط الإقراض لما له  من أهمية في تحديد نقاط القوة والضعف في هذا النشاط و بناءا عليه يقوم مراقب الحسابات ببناء برنامج التدقيق لتدقيق نشاط الإقراض.  كذلك يهدف البحث إلى تسليط الضوء على نقاط الخلل في البرامج التدقيقية لمراقب الحسابات و المعمول بها في القطاع الحكومي مقارنة مع البيان الدولي لمهنة التدقيق رقم 1006.</w:t>
            </w:r>
          </w:p>
          <w:p w:rsidR="00F725E8" w:rsidRPr="00F53F53" w:rsidRDefault="00F725E8" w:rsidP="00DC05BF">
            <w:pPr>
              <w:tabs>
                <w:tab w:val="left" w:pos="7591"/>
              </w:tabs>
              <w:spacing w:before="240"/>
              <w:jc w:val="mediumKashida"/>
              <w:rPr>
                <w:rFonts w:ascii="Times New Roman" w:hAnsi="Times New Roman"/>
                <w:b/>
                <w:bCs/>
                <w:sz w:val="20"/>
                <w:szCs w:val="20"/>
                <w:rtl/>
                <w:lang w:bidi="ar-IQ"/>
              </w:rPr>
            </w:pPr>
            <w:r w:rsidRPr="00F53F53">
              <w:rPr>
                <w:rFonts w:ascii="Times New Roman" w:hAnsi="Times New Roman"/>
                <w:b/>
                <w:bCs/>
                <w:sz w:val="20"/>
                <w:szCs w:val="20"/>
                <w:rtl/>
                <w:lang w:bidi="ar-IQ"/>
              </w:rPr>
              <w:t xml:space="preserve">     كما يتجلى دور مراقب الحسابات في المصرف  ويبرز بشكل أساس في جانبين هما جانب التدقيق (القروض وإدارة المخاطر ) والجانب الثاني هو تقويم أداء إدارة مخاطر الإقراض وذلك لان عمليتي التدقيق و التقويم لهما دور مهم في عملية إدارة المخاطر.</w:t>
            </w:r>
          </w:p>
          <w:p w:rsidR="00F725E8" w:rsidRPr="00F53F53" w:rsidRDefault="00F725E8" w:rsidP="00DC05BF">
            <w:pPr>
              <w:tabs>
                <w:tab w:val="left" w:pos="7591"/>
              </w:tabs>
              <w:spacing w:before="240"/>
              <w:jc w:val="mediumKashida"/>
              <w:rPr>
                <w:rFonts w:ascii="Times New Roman" w:hAnsi="Times New Roman"/>
                <w:b/>
                <w:bCs/>
                <w:sz w:val="20"/>
                <w:szCs w:val="20"/>
                <w:rtl/>
              </w:rPr>
            </w:pPr>
            <w:r w:rsidRPr="00F53F53">
              <w:rPr>
                <w:rFonts w:ascii="Times New Roman" w:hAnsi="Times New Roman"/>
                <w:b/>
                <w:bCs/>
                <w:sz w:val="20"/>
                <w:szCs w:val="20"/>
                <w:rtl/>
                <w:lang w:bidi="ar-IQ"/>
              </w:rPr>
              <w:t xml:space="preserve">استند البحث على فرضية أساسية مفادها </w:t>
            </w:r>
            <w:r w:rsidRPr="00F53F53">
              <w:rPr>
                <w:rFonts w:ascii="Times New Roman" w:hAnsi="Times New Roman"/>
                <w:b/>
                <w:bCs/>
                <w:sz w:val="20"/>
                <w:szCs w:val="20"/>
                <w:rtl/>
              </w:rPr>
              <w:t>"إن قيام مراقب الحسابات بإعداد التقارير الخارجية بناءا على تقويم أداء إدارة مخاطر القروض سوف يؤدي إلى :- (الزيادة في كفاءة أداء إدارة نشاط الإقراض في  المصارف و كفاية في الضمانات المقدمة من قبل المقترض للمقرض  فضلا عن الكفاءة في إجراءات المتابعة التي تؤدي إلى استرداد القروض و احتساب الفوائد التأخيرية على مبلغ القرض ).</w:t>
            </w:r>
          </w:p>
          <w:p w:rsidR="00F725E8" w:rsidRPr="00F53F53" w:rsidRDefault="00F725E8" w:rsidP="00DC05BF">
            <w:pPr>
              <w:tabs>
                <w:tab w:val="left" w:pos="7591"/>
              </w:tabs>
              <w:spacing w:before="240"/>
              <w:jc w:val="mediumKashida"/>
              <w:rPr>
                <w:rFonts w:ascii="Times New Roman" w:hAnsi="Times New Roman" w:hint="cs"/>
                <w:b/>
                <w:bCs/>
                <w:sz w:val="20"/>
                <w:szCs w:val="20"/>
                <w:rtl/>
                <w:lang w:val="en-US" w:bidi="ar-IQ"/>
              </w:rPr>
            </w:pPr>
            <w:r w:rsidRPr="00F53F53">
              <w:rPr>
                <w:rFonts w:ascii="Times New Roman" w:hAnsi="Times New Roman"/>
                <w:b/>
                <w:bCs/>
                <w:sz w:val="20"/>
                <w:szCs w:val="20"/>
                <w:rtl/>
              </w:rPr>
              <w:t xml:space="preserve">  في ضوء الدراسة النظرية و العملية تم التوصل إلى مجموعة من الاستنتاجات و التوصيات التي تتعلق بموضوع البحث و عينته المختارة .</w:t>
            </w:r>
            <w:r w:rsidRPr="00F53F53">
              <w:rPr>
                <w:rFonts w:ascii="Times New Roman" w:hAnsi="Times New Roman"/>
                <w:b/>
                <w:bCs/>
                <w:sz w:val="20"/>
                <w:szCs w:val="20"/>
                <w:rtl/>
                <w:lang w:bidi="ar-IQ"/>
              </w:rPr>
              <w:t xml:space="preserve">  </w:t>
            </w: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F725E8" w:rsidRDefault="00F725E8" w:rsidP="00DC05BF">
            <w:pPr>
              <w:spacing w:line="360" w:lineRule="auto"/>
              <w:rPr>
                <w:rFonts w:ascii="Tahoma" w:hAnsi="Tahoma" w:cs="Tahoma"/>
                <w:sz w:val="18"/>
                <w:szCs w:val="18"/>
                <w:rtl/>
                <w:lang w:val="en-US" w:bidi="ar-IQ"/>
              </w:rPr>
            </w:pPr>
          </w:p>
          <w:p w:rsidR="00F725E8" w:rsidRDefault="00F725E8" w:rsidP="00DC05BF">
            <w:pPr>
              <w:spacing w:line="360" w:lineRule="auto"/>
              <w:jc w:val="right"/>
              <w:rPr>
                <w:rFonts w:ascii="Tahoma" w:hAnsi="Tahoma" w:cs="Tahoma"/>
                <w:sz w:val="18"/>
                <w:szCs w:val="18"/>
                <w:rtl/>
                <w:lang w:val="en-US" w:bidi="ar-IQ"/>
              </w:rPr>
            </w:pPr>
          </w:p>
          <w:p w:rsidR="00F725E8" w:rsidRDefault="00F725E8" w:rsidP="00DC05BF">
            <w:pPr>
              <w:spacing w:line="360" w:lineRule="auto"/>
              <w:jc w:val="right"/>
              <w:rPr>
                <w:rFonts w:ascii="Tahoma" w:hAnsi="Tahoma" w:cs="Tahoma"/>
                <w:sz w:val="18"/>
                <w:szCs w:val="18"/>
                <w:lang w:val="en-US" w:bidi="ar-IQ"/>
              </w:rPr>
            </w:pPr>
            <w:r>
              <w:rPr>
                <w:rFonts w:ascii="Tahoma" w:hAnsi="Tahoma" w:cs="Tahoma"/>
                <w:sz w:val="18"/>
                <w:szCs w:val="18"/>
                <w:lang w:val="en-US" w:bidi="ar-IQ"/>
              </w:rPr>
              <w:t xml:space="preserve"> Abstract </w:t>
            </w:r>
            <w:r>
              <w:rPr>
                <w:rFonts w:ascii="Tahoma" w:hAnsi="Tahoma" w:cs="Tahoma"/>
                <w:sz w:val="18"/>
                <w:szCs w:val="18"/>
                <w:rtl/>
                <w:lang w:val="en-US" w:bidi="ar-IQ"/>
              </w:rPr>
              <w:t xml:space="preserve">  </w:t>
            </w:r>
          </w:p>
        </w:tc>
      </w:tr>
    </w:tbl>
    <w:p w:rsidR="00567619" w:rsidRDefault="00567619"/>
    <w:sectPr w:rsidR="00567619" w:rsidSect="0056761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25E8"/>
    <w:rsid w:val="00567619"/>
    <w:rsid w:val="00F725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5E8"/>
    <w:pPr>
      <w:bidi/>
      <w:spacing w:after="0" w:line="240" w:lineRule="auto"/>
    </w:pPr>
    <w:rPr>
      <w:rFonts w:ascii="Cambria" w:eastAsia="Cambria" w:hAnsi="Cambri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F725E8"/>
  </w:style>
  <w:style w:type="character" w:customStyle="1" w:styleId="shorttext">
    <w:name w:val="short_text"/>
    <w:basedOn w:val="DefaultParagraphFont"/>
    <w:rsid w:val="00F725E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2309</Characters>
  <Application>Microsoft Office Word</Application>
  <DocSecurity>0</DocSecurity>
  <Lines>19</Lines>
  <Paragraphs>5</Paragraphs>
  <ScaleCrop>false</ScaleCrop>
  <Company/>
  <LinksUpToDate>false</LinksUpToDate>
  <CharactersWithSpaces>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dc:creator>
  <cp:lastModifiedBy>dalia</cp:lastModifiedBy>
  <cp:revision>1</cp:revision>
  <dcterms:created xsi:type="dcterms:W3CDTF">2013-03-25T06:28:00Z</dcterms:created>
  <dcterms:modified xsi:type="dcterms:W3CDTF">2013-03-25T06:29:00Z</dcterms:modified>
</cp:coreProperties>
</file>