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B37303" w:rsidTr="001905DB">
        <w:trPr>
          <w:trHeight w:hRule="exact" w:val="50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37303" w:rsidRPr="00943FCF" w:rsidRDefault="00B37303" w:rsidP="001905DB">
            <w:pPr>
              <w:rPr>
                <w:rFonts w:ascii="Times New Roman" w:hAnsi="Times New Roman"/>
                <w:b/>
                <w:bCs/>
                <w:sz w:val="32"/>
                <w:szCs w:val="32"/>
                <w:lang w:val="en-US" w:bidi="ar-IQ"/>
              </w:rPr>
            </w:pPr>
            <w:r w:rsidRPr="00943FCF">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37303" w:rsidRDefault="00B37303" w:rsidP="001905DB">
            <w:pPr>
              <w:jc w:val="right"/>
              <w:rPr>
                <w:rFonts w:ascii="Tahoma" w:hAnsi="Tahoma" w:cs="Tahoma"/>
                <w:lang w:val="en-US" w:bidi="ar-IQ"/>
              </w:rPr>
            </w:pPr>
            <w:r>
              <w:rPr>
                <w:rFonts w:ascii="Tahoma" w:hAnsi="Tahoma" w:cs="Tahoma"/>
                <w:lang w:val="en-US" w:bidi="ar-IQ"/>
              </w:rPr>
              <w:t>College  Name</w:t>
            </w:r>
          </w:p>
        </w:tc>
      </w:tr>
      <w:tr w:rsidR="00B37303" w:rsidTr="001905DB">
        <w:trPr>
          <w:trHeight w:hRule="exact" w:val="4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37303" w:rsidRPr="00943FCF" w:rsidRDefault="00B37303" w:rsidP="001905DB">
            <w:pPr>
              <w:rPr>
                <w:rFonts w:ascii="Times New Roman" w:hAnsi="Times New Roman" w:hint="cs"/>
                <w:b/>
                <w:bCs/>
                <w:sz w:val="32"/>
                <w:szCs w:val="32"/>
                <w:rtl/>
                <w:lang w:val="en-US" w:bidi="ar-IQ"/>
              </w:rPr>
            </w:pPr>
            <w:r w:rsidRPr="00943FCF">
              <w:rPr>
                <w:rFonts w:ascii="Times New Roman" w:hAnsi="Times New Roman"/>
                <w:b/>
                <w:bCs/>
                <w:sz w:val="32"/>
                <w:szCs w:val="32"/>
                <w:rtl/>
                <w:lang w:val="en-US" w:bidi="ar-IQ"/>
              </w:rPr>
              <w:t>ادارة</w:t>
            </w:r>
            <w:r>
              <w:rPr>
                <w:rFonts w:ascii="Times New Roman" w:hAnsi="Times New Roman" w:hint="cs"/>
                <w:b/>
                <w:bCs/>
                <w:sz w:val="32"/>
                <w:szCs w:val="32"/>
                <w:rtl/>
                <w:lang w:val="en-US" w:bidi="ar-IQ"/>
              </w:rPr>
              <w:t xml:space="preserve"> عامه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37303" w:rsidRDefault="00B37303" w:rsidP="001905DB">
            <w:pPr>
              <w:jc w:val="right"/>
              <w:rPr>
                <w:rFonts w:ascii="Tahoma" w:hAnsi="Tahoma" w:cs="Tahoma"/>
                <w:lang w:val="en-US" w:bidi="ar-IQ"/>
              </w:rPr>
            </w:pPr>
            <w:r>
              <w:rPr>
                <w:rFonts w:ascii="Tahoma" w:hAnsi="Tahoma" w:cs="Tahoma"/>
                <w:lang w:val="en-US" w:bidi="ar-IQ"/>
              </w:rPr>
              <w:t>Department</w:t>
            </w:r>
          </w:p>
        </w:tc>
      </w:tr>
      <w:tr w:rsidR="00B37303" w:rsidTr="001905DB">
        <w:trPr>
          <w:trHeight w:hRule="exact" w:val="60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37303" w:rsidRPr="00943FCF" w:rsidRDefault="00B37303" w:rsidP="001905DB">
            <w:pPr>
              <w:rPr>
                <w:rFonts w:ascii="Times New Roman" w:hAnsi="Times New Roman" w:hint="cs"/>
                <w:b/>
                <w:bCs/>
                <w:sz w:val="32"/>
                <w:szCs w:val="32"/>
                <w:rtl/>
              </w:rPr>
            </w:pPr>
            <w:r w:rsidRPr="00943FCF">
              <w:rPr>
                <w:rFonts w:ascii="Times New Roman" w:hAnsi="Times New Roman"/>
                <w:b/>
                <w:bCs/>
                <w:sz w:val="32"/>
                <w:szCs w:val="32"/>
                <w:rtl/>
              </w:rPr>
              <w:t>نسرين جاسم محمد</w:t>
            </w:r>
          </w:p>
          <w:p w:rsidR="00B37303" w:rsidRPr="00943FCF" w:rsidRDefault="00B37303" w:rsidP="001905DB">
            <w:pPr>
              <w:tabs>
                <w:tab w:val="left" w:pos="637"/>
              </w:tabs>
              <w:rPr>
                <w:rFonts w:ascii="Times New Roman" w:hAnsi="Times New Roman"/>
                <w:b/>
                <w:bCs/>
                <w:sz w:val="32"/>
                <w:szCs w:val="32"/>
                <w:rtl/>
                <w:lang w:bidi="ar-IQ"/>
              </w:rPr>
            </w:pPr>
          </w:p>
          <w:p w:rsidR="00B37303" w:rsidRPr="00943FCF" w:rsidRDefault="00B37303" w:rsidP="001905DB">
            <w:pPr>
              <w:pStyle w:val="BodyText3"/>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37303" w:rsidRDefault="00B37303" w:rsidP="001905DB">
            <w:pPr>
              <w:jc w:val="right"/>
              <w:rPr>
                <w:rFonts w:ascii="Tahoma" w:hAnsi="Tahoma" w:cs="Tahoma"/>
                <w:lang w:val="en-US" w:bidi="ar-IQ"/>
              </w:rPr>
            </w:pPr>
            <w:r>
              <w:rPr>
                <w:rFonts w:ascii="Tahoma" w:hAnsi="Tahoma" w:cs="Tahoma"/>
                <w:lang w:val="en-US" w:bidi="ar-IQ"/>
              </w:rPr>
              <w:t>Full Name as written   in Passport</w:t>
            </w:r>
          </w:p>
        </w:tc>
      </w:tr>
      <w:tr w:rsidR="00B37303" w:rsidTr="001905DB">
        <w:trPr>
          <w:trHeight w:hRule="exact" w:val="35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37303" w:rsidRDefault="00B37303" w:rsidP="001905DB">
            <w:pPr>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37303" w:rsidRDefault="00B37303" w:rsidP="001905DB">
            <w:pPr>
              <w:jc w:val="right"/>
              <w:rPr>
                <w:rFonts w:ascii="Tahoma" w:hAnsi="Tahoma" w:cs="Tahoma"/>
                <w:lang w:val="en-US" w:bidi="ar-IQ"/>
              </w:rPr>
            </w:pPr>
            <w:r>
              <w:rPr>
                <w:rFonts w:ascii="Tahoma" w:hAnsi="Tahoma" w:cs="Tahoma"/>
                <w:lang w:val="en-US" w:bidi="ar-IQ"/>
              </w:rPr>
              <w:t>e-mail</w:t>
            </w:r>
          </w:p>
        </w:tc>
      </w:tr>
      <w:tr w:rsidR="00B37303" w:rsidTr="001905DB">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B37303" w:rsidRDefault="00B37303" w:rsidP="001905DB">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B37303" w:rsidRDefault="00B37303" w:rsidP="001905DB">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B37303" w:rsidRDefault="00B37303" w:rsidP="001905DB">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B37303" w:rsidRDefault="00B37303" w:rsidP="001905DB">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37303" w:rsidRDefault="00B37303" w:rsidP="001905DB">
            <w:pPr>
              <w:jc w:val="right"/>
              <w:rPr>
                <w:rFonts w:ascii="Tahoma" w:hAnsi="Tahoma" w:cs="Tahoma"/>
                <w:lang w:val="en-US" w:bidi="ar-IQ"/>
              </w:rPr>
            </w:pPr>
            <w:r>
              <w:rPr>
                <w:rFonts w:ascii="Tahoma" w:hAnsi="Tahoma" w:cs="Tahoma"/>
                <w:lang w:val="en-US" w:bidi="ar-IQ"/>
              </w:rPr>
              <w:t xml:space="preserve">Career </w:t>
            </w:r>
          </w:p>
        </w:tc>
      </w:tr>
      <w:tr w:rsidR="00B37303" w:rsidTr="001905DB">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B37303" w:rsidRDefault="00B37303" w:rsidP="001905DB">
            <w:pPr>
              <w:jc w:val="right"/>
              <w:rPr>
                <w:lang w:val="en-US" w:bidi="ar-IQ"/>
              </w:rPr>
            </w:pPr>
            <w:r>
              <w:rPr>
                <w:rtl/>
              </w:rPr>
              <w:pict>
                <v:oval id="_x0000_s1031" style="position:absolute;margin-left:3.65pt;margin-top:1.65pt;width:12.05pt;height:12.6pt;z-index:251665408;mso-position-horizontal-relative:text;mso-position-vertical-relative:text" fillcolor="navy" strokecolor="navy"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B37303" w:rsidRDefault="00B37303" w:rsidP="001905DB">
            <w:pPr>
              <w:jc w:val="right"/>
              <w:rPr>
                <w:lang w:val="en-US" w:bidi="ar-IQ"/>
              </w:rPr>
            </w:pPr>
            <w:r>
              <w:rPr>
                <w:rFonts w:cs="Simplified Arabic" w:hint="cs"/>
                <w:noProof/>
                <w:sz w:val="28"/>
                <w:szCs w:val="28"/>
                <w:rtl/>
                <w:lang w:val="en-US"/>
              </w:rPr>
              <w:pict>
                <v:oval id="_x0000_s1032" style="position:absolute;margin-left:8.1pt;margin-top:2.1pt;width:12.05pt;height:12.6pt;z-index:251666432;mso-position-horizontal-relative:text;mso-position-vertical-relative:text"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37303" w:rsidRDefault="00B37303" w:rsidP="001905DB">
            <w:pPr>
              <w:jc w:val="right"/>
              <w:rPr>
                <w:rFonts w:ascii="Tahoma" w:hAnsi="Tahoma" w:cs="Tahoma"/>
                <w:lang w:val="en-US" w:bidi="ar-IQ"/>
              </w:rPr>
            </w:pPr>
          </w:p>
        </w:tc>
      </w:tr>
      <w:tr w:rsidR="00B37303" w:rsidTr="001905DB">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37303" w:rsidRPr="00943FCF" w:rsidRDefault="00B37303" w:rsidP="001905DB">
            <w:pPr>
              <w:rPr>
                <w:rFonts w:ascii="Times New Roman" w:hAnsi="Times New Roman"/>
                <w:b/>
                <w:bCs/>
                <w:sz w:val="28"/>
                <w:szCs w:val="28"/>
                <w:rtl/>
              </w:rPr>
            </w:pPr>
            <w:r w:rsidRPr="00943FCF">
              <w:rPr>
                <w:rFonts w:ascii="Times New Roman" w:hAnsi="Times New Roman"/>
                <w:b/>
                <w:bCs/>
                <w:sz w:val="28"/>
                <w:szCs w:val="28"/>
                <w:rtl/>
              </w:rPr>
              <w:t>تأثير التغير البيئي وخصائص القرارات الاستراتيجية في مجال عمليات إعادة الهيكلة</w:t>
            </w:r>
          </w:p>
          <w:p w:rsidR="00B37303" w:rsidRPr="00943FCF" w:rsidRDefault="00B37303" w:rsidP="001905DB">
            <w:pPr>
              <w:rPr>
                <w:rFonts w:ascii="Times New Roman" w:hAnsi="Times New Roman"/>
                <w:sz w:val="28"/>
                <w:szCs w:val="28"/>
                <w:rtl/>
              </w:rPr>
            </w:pPr>
          </w:p>
          <w:p w:rsidR="00B37303" w:rsidRPr="0031158E" w:rsidRDefault="00B37303" w:rsidP="001905DB">
            <w:pPr>
              <w:tabs>
                <w:tab w:val="left" w:pos="742"/>
                <w:tab w:val="center" w:pos="4016"/>
              </w:tabs>
              <w:rPr>
                <w:rFonts w:cs="Simplified Arabic" w:hint="cs"/>
                <w:rtl/>
                <w:lang w:bidi="ar-IQ"/>
              </w:rPr>
            </w:pPr>
            <w:r>
              <w:rPr>
                <w:sz w:val="28"/>
                <w:szCs w:val="28"/>
                <w:rtl/>
                <w:lang w:val="en-US"/>
              </w:rPr>
              <w:tab/>
            </w:r>
            <w:r>
              <w:rPr>
                <w:sz w:val="28"/>
                <w:szCs w:val="28"/>
                <w:rtl/>
                <w:lang w:val="en-US"/>
              </w:rPr>
              <w:tab/>
            </w:r>
            <w:r w:rsidRPr="0031158E">
              <w:rPr>
                <w:sz w:val="28"/>
                <w:szCs w:val="28"/>
                <w:rtl/>
                <w:lang w:val="en-US"/>
              </w:rPr>
              <w:tab/>
            </w:r>
          </w:p>
          <w:p w:rsidR="00B37303" w:rsidRPr="0031158E" w:rsidRDefault="00B37303" w:rsidP="001905DB">
            <w:pPr>
              <w:rPr>
                <w:rFonts w:cs="Simplified Arabic" w:hint="cs"/>
                <w:b/>
                <w:bCs/>
                <w:rtl/>
                <w:lang w:bidi="ar-IQ"/>
              </w:rPr>
            </w:pPr>
          </w:p>
          <w:p w:rsidR="00B37303" w:rsidRPr="0031158E" w:rsidRDefault="00B37303" w:rsidP="001905DB">
            <w:pPr>
              <w:tabs>
                <w:tab w:val="left" w:pos="1027"/>
              </w:tabs>
              <w:rPr>
                <w:sz w:val="28"/>
                <w:szCs w:val="28"/>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37303" w:rsidRDefault="00B37303" w:rsidP="001905DB">
            <w:pPr>
              <w:jc w:val="right"/>
              <w:rPr>
                <w:rFonts w:ascii="Tahoma" w:hAnsi="Tahoma" w:cs="Tahoma"/>
                <w:lang w:val="en-US" w:bidi="ar-IQ"/>
              </w:rPr>
            </w:pPr>
            <w:r>
              <w:rPr>
                <w:rFonts w:ascii="Tahoma" w:hAnsi="Tahoma" w:cs="Tahoma"/>
                <w:lang w:val="en-US" w:bidi="ar-IQ"/>
              </w:rPr>
              <w:t xml:space="preserve">Thesis  Title </w:t>
            </w:r>
          </w:p>
        </w:tc>
      </w:tr>
      <w:tr w:rsidR="00B37303" w:rsidTr="001905DB">
        <w:trPr>
          <w:trHeight w:hRule="exact" w:val="35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37303" w:rsidRPr="00943FCF" w:rsidRDefault="00B37303" w:rsidP="001905DB">
            <w:pPr>
              <w:jc w:val="center"/>
              <w:rPr>
                <w:rFonts w:ascii="Times New Roman" w:hAnsi="Times New Roman" w:hint="cs"/>
                <w:b/>
                <w:bCs/>
                <w:noProof/>
                <w:sz w:val="32"/>
                <w:szCs w:val="32"/>
                <w:rtl/>
              </w:rPr>
            </w:pPr>
            <w:r w:rsidRPr="00943FCF">
              <w:rPr>
                <w:rFonts w:ascii="Times New Roman" w:hAnsi="Times New Roman"/>
                <w:b/>
                <w:bCs/>
                <w:sz w:val="32"/>
                <w:szCs w:val="32"/>
                <w:rtl/>
              </w:rPr>
              <w:t>هـ142</w:t>
            </w:r>
            <w:r w:rsidRPr="00943FCF">
              <w:rPr>
                <w:rFonts w:ascii="Times New Roman" w:hAnsi="Times New Roman"/>
                <w:b/>
                <w:bCs/>
                <w:noProof/>
                <w:sz w:val="32"/>
                <w:szCs w:val="32"/>
                <w:rtl/>
              </w:rPr>
              <w:t>9      بغداد       2008 م</w:t>
            </w:r>
          </w:p>
          <w:p w:rsidR="00B37303" w:rsidRPr="00EE6D23" w:rsidRDefault="00B37303" w:rsidP="001905DB">
            <w:pPr>
              <w:rPr>
                <w:rFonts w:cs="Simplified Arabic" w:hint="cs"/>
                <w:b/>
                <w:bCs/>
                <w:sz w:val="36"/>
                <w:szCs w:val="36"/>
                <w:rtl/>
                <w:lang w:bidi="ar-IQ"/>
              </w:rPr>
            </w:pPr>
            <w:r>
              <w:rPr>
                <w:sz w:val="28"/>
                <w:szCs w:val="28"/>
                <w:rtl/>
              </w:rPr>
              <w:tab/>
            </w:r>
            <w:r w:rsidRPr="00EE6D23">
              <w:rPr>
                <w:rFonts w:cs="Simplified Arabic" w:hint="cs"/>
                <w:b/>
                <w:bCs/>
                <w:sz w:val="36"/>
                <w:szCs w:val="36"/>
                <w:rtl/>
                <w:lang w:bidi="ar-IQ"/>
              </w:rPr>
              <w:tab/>
            </w:r>
            <w:r w:rsidRPr="00EE6D23">
              <w:rPr>
                <w:rFonts w:cs="Simplified Arabic" w:hint="cs"/>
                <w:b/>
                <w:bCs/>
                <w:sz w:val="36"/>
                <w:szCs w:val="36"/>
                <w:rtl/>
                <w:lang w:bidi="ar-IQ"/>
              </w:rPr>
              <w:tab/>
            </w:r>
            <w:r w:rsidRPr="00EE6D23">
              <w:rPr>
                <w:rFonts w:cs="Simplified Arabic" w:hint="cs"/>
                <w:b/>
                <w:bCs/>
                <w:sz w:val="36"/>
                <w:szCs w:val="36"/>
                <w:rtl/>
                <w:lang w:bidi="ar-IQ"/>
              </w:rPr>
              <w:tab/>
            </w:r>
            <w:r>
              <w:rPr>
                <w:rFonts w:cs="Simplified Arabic" w:hint="cs"/>
                <w:b/>
                <w:bCs/>
                <w:sz w:val="36"/>
                <w:szCs w:val="36"/>
                <w:rtl/>
                <w:lang w:bidi="ar-IQ"/>
              </w:rPr>
              <w:t xml:space="preserve">             </w:t>
            </w:r>
            <w:r w:rsidRPr="00EE6D23">
              <w:rPr>
                <w:rFonts w:cs="Simplified Arabic" w:hint="cs"/>
                <w:b/>
                <w:bCs/>
                <w:sz w:val="36"/>
                <w:szCs w:val="36"/>
                <w:rtl/>
                <w:lang w:bidi="ar-IQ"/>
              </w:rPr>
              <w:tab/>
            </w:r>
            <w:r>
              <w:rPr>
                <w:rFonts w:cs="Simplified Arabic" w:hint="cs"/>
                <w:b/>
                <w:bCs/>
                <w:sz w:val="36"/>
                <w:szCs w:val="36"/>
                <w:rtl/>
                <w:lang w:bidi="ar-IQ"/>
              </w:rPr>
              <w:t xml:space="preserve">         </w:t>
            </w:r>
          </w:p>
          <w:p w:rsidR="00B37303" w:rsidRPr="0031158E" w:rsidRDefault="00B37303" w:rsidP="001905DB">
            <w:pPr>
              <w:tabs>
                <w:tab w:val="left" w:pos="232"/>
                <w:tab w:val="center" w:pos="4016"/>
              </w:tabs>
              <w:rPr>
                <w:rFonts w:cs="Simplified Arabic" w:hint="cs"/>
                <w:sz w:val="28"/>
                <w:szCs w:val="28"/>
                <w:rtl/>
              </w:rPr>
            </w:pPr>
            <w:r>
              <w:rPr>
                <w:sz w:val="28"/>
                <w:szCs w:val="28"/>
                <w:rtl/>
              </w:rPr>
              <w:tab/>
            </w:r>
            <w:r w:rsidRPr="0031158E">
              <w:rPr>
                <w:sz w:val="28"/>
                <w:szCs w:val="28"/>
                <w:rtl/>
              </w:rPr>
              <w:t xml:space="preserve"> </w:t>
            </w:r>
          </w:p>
          <w:p w:rsidR="00B37303" w:rsidRPr="0031158E" w:rsidRDefault="00B37303" w:rsidP="001905DB">
            <w:pPr>
              <w:pStyle w:val="BodyText3"/>
              <w:rPr>
                <w:rFonts w:hint="cs"/>
                <w:sz w:val="28"/>
                <w:szCs w:val="28"/>
                <w:rtl/>
              </w:rPr>
            </w:pPr>
          </w:p>
          <w:p w:rsidR="00B37303" w:rsidRPr="0031158E" w:rsidRDefault="00B37303" w:rsidP="001905DB">
            <w:pPr>
              <w:tabs>
                <w:tab w:val="left" w:pos="4843"/>
              </w:tabs>
              <w:jc w:val="center"/>
              <w:rPr>
                <w:rFonts w:hint="cs"/>
                <w:sz w:val="28"/>
                <w:szCs w:val="28"/>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37303" w:rsidRDefault="00B37303" w:rsidP="001905DB">
            <w:pPr>
              <w:jc w:val="right"/>
              <w:rPr>
                <w:rFonts w:ascii="Tahoma" w:hAnsi="Tahoma" w:cs="Tahoma"/>
                <w:lang w:val="en-US" w:bidi="ar-IQ"/>
              </w:rPr>
            </w:pPr>
            <w:r>
              <w:rPr>
                <w:rFonts w:ascii="Tahoma" w:hAnsi="Tahoma" w:cs="Tahoma"/>
                <w:lang w:val="en-US" w:bidi="ar-IQ"/>
              </w:rPr>
              <w:t>Year</w:t>
            </w:r>
          </w:p>
        </w:tc>
      </w:tr>
      <w:tr w:rsidR="00B37303" w:rsidTr="001905DB">
        <w:trPr>
          <w:trHeight w:val="7379"/>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B37303" w:rsidRPr="00132D4F" w:rsidRDefault="00B37303" w:rsidP="001905DB">
            <w:pPr>
              <w:jc w:val="lowKashida"/>
              <w:rPr>
                <w:rFonts w:cs="Traditional Arabic" w:hint="cs"/>
                <w:b/>
                <w:bCs/>
                <w:sz w:val="20"/>
                <w:szCs w:val="20"/>
                <w:rtl/>
              </w:rPr>
            </w:pPr>
            <w:r w:rsidRPr="00132D4F">
              <w:rPr>
                <w:rFonts w:cs="Traditional Arabic" w:hint="cs"/>
                <w:b/>
                <w:bCs/>
                <w:sz w:val="20"/>
                <w:szCs w:val="20"/>
                <w:rtl/>
              </w:rPr>
              <w:t xml:space="preserve">       شهد الفكر الإداري والتنظيمي المعاصر اهتماماً بارزاً بالبيئة والتغيرات التي تحدثها وتؤثر بها على المنظمات العامة والخاصة على حدٍ سواء، وقد فرضت هذه التغيرات على المنظمات ضرورة اتخاذ قرارات استراتيجية حاسمة بصدد إحداث تغييرات في هياكلها التنظيمية بما يتلائم وطبيعة هذه التغيرات البيئية.    </w:t>
            </w:r>
          </w:p>
          <w:p w:rsidR="00B37303" w:rsidRPr="00132D4F" w:rsidRDefault="00B37303" w:rsidP="001905DB">
            <w:pPr>
              <w:jc w:val="lowKashida"/>
              <w:rPr>
                <w:rFonts w:cs="Traditional Arabic" w:hint="cs"/>
                <w:b/>
                <w:bCs/>
                <w:sz w:val="20"/>
                <w:szCs w:val="20"/>
                <w:rtl/>
              </w:rPr>
            </w:pPr>
            <w:r w:rsidRPr="00132D4F">
              <w:rPr>
                <w:rFonts w:cs="Traditional Arabic" w:hint="cs"/>
                <w:b/>
                <w:bCs/>
                <w:sz w:val="20"/>
                <w:szCs w:val="20"/>
                <w:rtl/>
              </w:rPr>
              <w:t xml:space="preserve">     تهدف الدراسة إلى التعرف على اثر العلاقة بين التغير البيئي وخصائص القرارات الاستراتيجية (الشخصية والتنظيمية) في عمليات إعادة الهيكلة في ديوان وزارة النفط.</w:t>
            </w:r>
          </w:p>
          <w:p w:rsidR="00B37303" w:rsidRPr="00132D4F" w:rsidRDefault="00B37303" w:rsidP="001905DB">
            <w:pPr>
              <w:jc w:val="lowKashida"/>
              <w:rPr>
                <w:rFonts w:cs="Traditional Arabic" w:hint="cs"/>
                <w:b/>
                <w:bCs/>
                <w:sz w:val="20"/>
                <w:szCs w:val="20"/>
                <w:rtl/>
              </w:rPr>
            </w:pPr>
            <w:r w:rsidRPr="00132D4F">
              <w:rPr>
                <w:rFonts w:cs="Traditional Arabic" w:hint="cs"/>
                <w:b/>
                <w:bCs/>
                <w:sz w:val="20"/>
                <w:szCs w:val="20"/>
                <w:rtl/>
              </w:rPr>
              <w:t xml:space="preserve">      ولبلوغ الهدف المذكور، وبناءً على معطيات الدراسة الاستطلاعية للباحثة بُنِيَ أنموذج فرضي للدراسة ضَمَ المتغيرات المستقلة والمستجيبة. واعتمادا على حركية الأنموذج صيغت (8) فرضيات ولاختبار صحة الفرضيات وجمع المعلومات من عينة الدراسة البالغة (42) فرداً يمثلون مراكز القرار في ديوان وزارة النفط، اعتمدت الدراسة مجموعة من الوسائل أهمها: الاستبانة، والمقابلات والتقارير الرسمية، وعُولجتْ البيانات بمجموعة من الأساليب الإحصائية الوصفية واللامعلمية لتحديد طبيعة ومستوى متغيرات الدراسة الأساسية وأبعادها وهي التغير البيئي بأبعاده (التعقيد البيئي والدينامية البيئية)، ثم خصائص القرارات الاستراتيجية (الخصائص الشخصية والخصائص التنظيمية) وأخيراً إعادة الهيكلة بأبعادها (تقليص الحجم، تقليص المدى، الاندماج، المشاريع المشتركة، إعادة تهيئة الخدمة)، وفي ضوء النتائج وتحليلاتها توصلت الدراسة إلى مجموعة من الاستنتاجات كان أهمها:</w:t>
            </w:r>
          </w:p>
          <w:p w:rsidR="00B37303" w:rsidRPr="00132D4F" w:rsidRDefault="00B37303" w:rsidP="00B37303">
            <w:pPr>
              <w:numPr>
                <w:ilvl w:val="0"/>
                <w:numId w:val="1"/>
              </w:numPr>
              <w:jc w:val="lowKashida"/>
              <w:rPr>
                <w:rFonts w:cs="Traditional Arabic" w:hint="cs"/>
                <w:b/>
                <w:bCs/>
                <w:sz w:val="20"/>
                <w:szCs w:val="20"/>
                <w:rtl/>
              </w:rPr>
            </w:pPr>
            <w:r w:rsidRPr="00132D4F">
              <w:rPr>
                <w:rFonts w:cs="Traditional Arabic" w:hint="cs"/>
                <w:b/>
                <w:bCs/>
                <w:sz w:val="20"/>
                <w:szCs w:val="20"/>
                <w:rtl/>
              </w:rPr>
              <w:t>إن الوزارة تعمل في ظل بيئة معقدة ناتجة عن تعدد وتنوع العوامل البيئية التي تواجهها.</w:t>
            </w:r>
          </w:p>
          <w:p w:rsidR="00B37303" w:rsidRPr="00132D4F" w:rsidRDefault="00B37303" w:rsidP="00B37303">
            <w:pPr>
              <w:numPr>
                <w:ilvl w:val="0"/>
                <w:numId w:val="1"/>
              </w:numPr>
              <w:jc w:val="lowKashida"/>
              <w:rPr>
                <w:rFonts w:cs="Traditional Arabic" w:hint="cs"/>
                <w:b/>
                <w:bCs/>
                <w:sz w:val="20"/>
                <w:szCs w:val="20"/>
              </w:rPr>
            </w:pPr>
            <w:r w:rsidRPr="00132D4F">
              <w:rPr>
                <w:rFonts w:cs="Traditional Arabic" w:hint="cs"/>
                <w:b/>
                <w:bCs/>
                <w:sz w:val="20"/>
                <w:szCs w:val="20"/>
                <w:rtl/>
              </w:rPr>
              <w:t>كان هناك تأثير لخصائص القرارات الاستراتيجية في تشخيص الخيارات الاستراتيجية المناسبة للوزارة المبحوثة.</w:t>
            </w:r>
          </w:p>
          <w:p w:rsidR="00B37303" w:rsidRPr="00132D4F" w:rsidRDefault="00B37303" w:rsidP="00B37303">
            <w:pPr>
              <w:numPr>
                <w:ilvl w:val="0"/>
                <w:numId w:val="1"/>
              </w:numPr>
              <w:jc w:val="lowKashida"/>
              <w:rPr>
                <w:rFonts w:cs="Traditional Arabic" w:hint="cs"/>
                <w:b/>
                <w:bCs/>
                <w:sz w:val="20"/>
                <w:szCs w:val="20"/>
              </w:rPr>
            </w:pPr>
            <w:r w:rsidRPr="00132D4F">
              <w:rPr>
                <w:rFonts w:cs="Traditional Arabic" w:hint="cs"/>
                <w:b/>
                <w:bCs/>
                <w:sz w:val="20"/>
                <w:szCs w:val="20"/>
                <w:rtl/>
              </w:rPr>
              <w:t>ظهر إن هناك قناعة وتحفز على تبني خيارات إعادة الهيكلة للتكيف مع التغيرات البيئية.</w:t>
            </w:r>
          </w:p>
          <w:p w:rsidR="00B37303" w:rsidRPr="00132D4F" w:rsidRDefault="00B37303" w:rsidP="00B37303">
            <w:pPr>
              <w:numPr>
                <w:ilvl w:val="0"/>
                <w:numId w:val="1"/>
              </w:numPr>
              <w:jc w:val="lowKashida"/>
              <w:rPr>
                <w:rFonts w:cs="Traditional Arabic" w:hint="cs"/>
                <w:b/>
                <w:bCs/>
                <w:sz w:val="20"/>
                <w:szCs w:val="20"/>
              </w:rPr>
            </w:pPr>
            <w:r w:rsidRPr="00132D4F">
              <w:rPr>
                <w:rFonts w:cs="Traditional Arabic" w:hint="cs"/>
                <w:b/>
                <w:bCs/>
                <w:sz w:val="20"/>
                <w:szCs w:val="20"/>
                <w:rtl/>
              </w:rPr>
              <w:t>تأكد وجود تأثير معنوي لعلاقة (التغير البيئي وخصائص القرارات الاستراتيجية) في عمليات إعادة الهيكلة.</w:t>
            </w:r>
          </w:p>
          <w:p w:rsidR="00B37303" w:rsidRPr="00132D4F" w:rsidRDefault="00B37303" w:rsidP="001905DB">
            <w:pPr>
              <w:jc w:val="lowKashida"/>
              <w:rPr>
                <w:rFonts w:cs="Traditional Arabic" w:hint="cs"/>
                <w:b/>
                <w:bCs/>
                <w:sz w:val="20"/>
                <w:szCs w:val="20"/>
                <w:rtl/>
              </w:rPr>
            </w:pPr>
            <w:r w:rsidRPr="00132D4F">
              <w:rPr>
                <w:rFonts w:cs="Traditional Arabic" w:hint="cs"/>
                <w:b/>
                <w:bCs/>
                <w:sz w:val="20"/>
                <w:szCs w:val="20"/>
                <w:rtl/>
              </w:rPr>
              <w:t xml:space="preserve">            أما أهم التوصيات التي توصلت إليها الدراسة فهي:</w:t>
            </w:r>
          </w:p>
          <w:p w:rsidR="00B37303" w:rsidRPr="00132D4F" w:rsidRDefault="00B37303" w:rsidP="00B37303">
            <w:pPr>
              <w:numPr>
                <w:ilvl w:val="0"/>
                <w:numId w:val="2"/>
              </w:numPr>
              <w:jc w:val="lowKashida"/>
              <w:rPr>
                <w:rFonts w:cs="Traditional Arabic" w:hint="cs"/>
                <w:b/>
                <w:bCs/>
                <w:sz w:val="20"/>
                <w:szCs w:val="20"/>
                <w:rtl/>
              </w:rPr>
            </w:pPr>
            <w:r w:rsidRPr="00132D4F">
              <w:rPr>
                <w:rFonts w:cs="Traditional Arabic" w:hint="cs"/>
                <w:b/>
                <w:bCs/>
                <w:sz w:val="20"/>
                <w:szCs w:val="20"/>
                <w:rtl/>
              </w:rPr>
              <w:t>التعريف بطبيعة البيئة المحيطة بالوزارة المبحوثة لكل المستويات الإدارية.</w:t>
            </w:r>
          </w:p>
          <w:p w:rsidR="00B37303" w:rsidRPr="00132D4F" w:rsidRDefault="00B37303" w:rsidP="00B37303">
            <w:pPr>
              <w:numPr>
                <w:ilvl w:val="0"/>
                <w:numId w:val="2"/>
              </w:numPr>
              <w:jc w:val="lowKashida"/>
              <w:rPr>
                <w:rFonts w:cs="Traditional Arabic" w:hint="cs"/>
                <w:b/>
                <w:bCs/>
                <w:sz w:val="20"/>
                <w:szCs w:val="20"/>
              </w:rPr>
            </w:pPr>
            <w:r w:rsidRPr="00132D4F">
              <w:rPr>
                <w:rFonts w:cs="Traditional Arabic" w:hint="cs"/>
                <w:b/>
                <w:bCs/>
                <w:sz w:val="20"/>
                <w:szCs w:val="20"/>
                <w:rtl/>
              </w:rPr>
              <w:t>التركيز على الخصائص الشخصية لمتخذي القرارات الاستراتيجية وزيادة فاعليتها عند مراكز اتخاذ القرار.</w:t>
            </w:r>
          </w:p>
          <w:p w:rsidR="00B37303" w:rsidRPr="00132D4F" w:rsidRDefault="00B37303" w:rsidP="00B37303">
            <w:pPr>
              <w:numPr>
                <w:ilvl w:val="0"/>
                <w:numId w:val="2"/>
              </w:numPr>
              <w:jc w:val="lowKashida"/>
              <w:rPr>
                <w:rFonts w:cs="Traditional Arabic" w:hint="cs"/>
                <w:b/>
                <w:bCs/>
                <w:sz w:val="20"/>
                <w:szCs w:val="20"/>
              </w:rPr>
            </w:pPr>
            <w:r w:rsidRPr="00132D4F">
              <w:rPr>
                <w:rFonts w:cs="Traditional Arabic" w:hint="cs"/>
                <w:b/>
                <w:bCs/>
                <w:sz w:val="20"/>
                <w:szCs w:val="20"/>
                <w:rtl/>
              </w:rPr>
              <w:t>الجمع بين الأسلوب المركزي والأسلوب اللامركزي في عمل الوزارة.</w:t>
            </w:r>
          </w:p>
          <w:p w:rsidR="00B37303" w:rsidRPr="00132D4F" w:rsidRDefault="00B37303" w:rsidP="00B37303">
            <w:pPr>
              <w:numPr>
                <w:ilvl w:val="0"/>
                <w:numId w:val="2"/>
              </w:numPr>
              <w:jc w:val="lowKashida"/>
              <w:rPr>
                <w:rFonts w:cs="Traditional Arabic" w:hint="cs"/>
                <w:b/>
                <w:bCs/>
                <w:sz w:val="20"/>
                <w:szCs w:val="20"/>
              </w:rPr>
            </w:pPr>
            <w:r w:rsidRPr="00132D4F">
              <w:rPr>
                <w:rFonts w:cs="Traditional Arabic" w:hint="cs"/>
                <w:b/>
                <w:bCs/>
                <w:sz w:val="20"/>
                <w:szCs w:val="20"/>
                <w:rtl/>
              </w:rPr>
              <w:t>الاهتمام والحفاظ على العاملين ذوي المهارات والكفاءات العالية وتحفيزهم.</w:t>
            </w:r>
          </w:p>
          <w:p w:rsidR="00B37303" w:rsidRPr="00132D4F" w:rsidRDefault="00B37303" w:rsidP="001905DB">
            <w:pPr>
              <w:jc w:val="lowKashida"/>
              <w:rPr>
                <w:rFonts w:cs="Traditional Arabic" w:hint="cs"/>
                <w:b/>
                <w:bCs/>
                <w:sz w:val="20"/>
                <w:szCs w:val="20"/>
                <w:rtl/>
              </w:rPr>
            </w:pPr>
            <w:r w:rsidRPr="00132D4F">
              <w:rPr>
                <w:rFonts w:cs="Traditional Arabic" w:hint="cs"/>
                <w:b/>
                <w:bCs/>
                <w:sz w:val="20"/>
                <w:szCs w:val="20"/>
                <w:rtl/>
              </w:rPr>
              <w:t xml:space="preserve">           وأخيراً قدمت الدراسة مجموعة من المقترحات لدراسات مستقبلية هي:</w:t>
            </w:r>
          </w:p>
          <w:p w:rsidR="00B37303" w:rsidRPr="00132D4F" w:rsidRDefault="00B37303" w:rsidP="00B37303">
            <w:pPr>
              <w:numPr>
                <w:ilvl w:val="0"/>
                <w:numId w:val="3"/>
              </w:numPr>
              <w:jc w:val="lowKashida"/>
              <w:rPr>
                <w:rFonts w:cs="Traditional Arabic" w:hint="cs"/>
                <w:b/>
                <w:bCs/>
                <w:sz w:val="20"/>
                <w:szCs w:val="20"/>
              </w:rPr>
            </w:pPr>
            <w:r w:rsidRPr="00132D4F">
              <w:rPr>
                <w:rFonts w:cs="Traditional Arabic" w:hint="cs"/>
                <w:b/>
                <w:bCs/>
                <w:sz w:val="20"/>
                <w:szCs w:val="20"/>
                <w:rtl/>
              </w:rPr>
              <w:t>دراسة لتحري مدى حاجة دوائر الوزارة وشركاتها الأخرى إلى إعادة الهيكلة بالاستفادة من معطيات الدراسة الحالية.</w:t>
            </w:r>
          </w:p>
          <w:p w:rsidR="00B37303" w:rsidRPr="00132D4F" w:rsidRDefault="00B37303" w:rsidP="00B37303">
            <w:pPr>
              <w:numPr>
                <w:ilvl w:val="0"/>
                <w:numId w:val="3"/>
              </w:numPr>
              <w:jc w:val="lowKashida"/>
              <w:rPr>
                <w:rFonts w:cs="Traditional Arabic" w:hint="cs"/>
                <w:b/>
                <w:bCs/>
                <w:sz w:val="20"/>
                <w:szCs w:val="20"/>
                <w:rtl/>
              </w:rPr>
            </w:pPr>
            <w:r w:rsidRPr="00132D4F">
              <w:rPr>
                <w:rFonts w:cs="Traditional Arabic" w:hint="cs"/>
                <w:b/>
                <w:bCs/>
                <w:sz w:val="20"/>
                <w:szCs w:val="20"/>
                <w:rtl/>
              </w:rPr>
              <w:t xml:space="preserve">دراسة تصميم منهجية مؤتمر أكاديمي- ميداني يسعى لاقتراح آليات تنفيذ إعادة الهيكلة المقترحة في الدراسة الحالية عبر توقيتات منطقية لا تُربِك سير العمل في ديوان الوزارة. </w:t>
            </w:r>
          </w:p>
          <w:p w:rsidR="00B37303" w:rsidRPr="003B61CF" w:rsidRDefault="00B37303" w:rsidP="001905DB">
            <w:pPr>
              <w:jc w:val="right"/>
              <w:rPr>
                <w:rFonts w:hint="cs"/>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B37303" w:rsidRDefault="00B37303" w:rsidP="001905DB">
            <w:pPr>
              <w:spacing w:line="360" w:lineRule="auto"/>
              <w:rPr>
                <w:rFonts w:ascii="Tahoma" w:hAnsi="Tahoma" w:cs="Tahoma"/>
                <w:rtl/>
                <w:lang w:val="en-US" w:bidi="ar-IQ"/>
              </w:rPr>
            </w:pPr>
          </w:p>
          <w:p w:rsidR="00B37303" w:rsidRDefault="00B37303" w:rsidP="001905DB">
            <w:pPr>
              <w:spacing w:line="360" w:lineRule="auto"/>
              <w:jc w:val="right"/>
              <w:rPr>
                <w:rFonts w:ascii="Tahoma" w:hAnsi="Tahoma" w:cs="Tahoma"/>
                <w:rtl/>
                <w:lang w:val="en-US" w:bidi="ar-IQ"/>
              </w:rPr>
            </w:pPr>
          </w:p>
          <w:p w:rsidR="00B37303" w:rsidRDefault="00B37303" w:rsidP="001905DB">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D600A5" w:rsidRDefault="00D600A5"/>
    <w:sectPr w:rsidR="00D600A5" w:rsidSect="00D600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92E30"/>
    <w:multiLevelType w:val="hybridMultilevel"/>
    <w:tmpl w:val="4A6EBD2C"/>
    <w:lvl w:ilvl="0" w:tplc="3DB47C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F108F0"/>
    <w:multiLevelType w:val="hybridMultilevel"/>
    <w:tmpl w:val="F78689B6"/>
    <w:lvl w:ilvl="0" w:tplc="1EB2E118">
      <w:start w:val="1"/>
      <w:numFmt w:val="decimal"/>
      <w:lvlText w:val="%1-"/>
      <w:lvlJc w:val="left"/>
      <w:pPr>
        <w:tabs>
          <w:tab w:val="num" w:pos="735"/>
        </w:tabs>
        <w:ind w:left="735" w:hanging="37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nsid w:val="79B74462"/>
    <w:multiLevelType w:val="hybridMultilevel"/>
    <w:tmpl w:val="40EA9FCE"/>
    <w:lvl w:ilvl="0" w:tplc="04090001">
      <w:start w:val="1"/>
      <w:numFmt w:val="decimal"/>
      <w:lvlText w:val="%1-"/>
      <w:lvlJc w:val="left"/>
      <w:pPr>
        <w:tabs>
          <w:tab w:val="num" w:pos="735"/>
        </w:tabs>
        <w:ind w:left="735" w:hanging="37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303"/>
    <w:rsid w:val="00B37303"/>
    <w:rsid w:val="00D600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03"/>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37303"/>
  </w:style>
  <w:style w:type="character" w:customStyle="1" w:styleId="shorttext">
    <w:name w:val="short_text"/>
    <w:basedOn w:val="DefaultParagraphFont"/>
    <w:rsid w:val="00B37303"/>
  </w:style>
  <w:style w:type="paragraph" w:styleId="BodyText3">
    <w:name w:val="Body Text 3"/>
    <w:basedOn w:val="Normal"/>
    <w:link w:val="BodyText3Char"/>
    <w:rsid w:val="00B37303"/>
    <w:pPr>
      <w:spacing w:after="120"/>
    </w:pPr>
    <w:rPr>
      <w:sz w:val="16"/>
      <w:szCs w:val="16"/>
    </w:rPr>
  </w:style>
  <w:style w:type="character" w:customStyle="1" w:styleId="BodyText3Char">
    <w:name w:val="Body Text 3 Char"/>
    <w:basedOn w:val="DefaultParagraphFont"/>
    <w:link w:val="BodyText3"/>
    <w:rsid w:val="00B37303"/>
    <w:rPr>
      <w:rFonts w:ascii="Cambria" w:eastAsia="Cambria"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1</cp:revision>
  <dcterms:created xsi:type="dcterms:W3CDTF">2013-03-24T10:29:00Z</dcterms:created>
  <dcterms:modified xsi:type="dcterms:W3CDTF">2013-03-24T10:29:00Z</dcterms:modified>
</cp:coreProperties>
</file>